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3770d8k.htm"/>
      <w:bookmarkStart w:id="1" w:name="ksd13377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August 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SABRE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7005" w:type="dxa"/>
        <w:jc w:val="left"/>
        <w:tblInd w:w="0" w:type="dxa"/>
        <w:tblLayout w:type="fixed"/>
        <w:tblCellMar>
          <w:top w:w="0" w:type="dxa"/>
          <w:left w:w="0" w:type="dxa"/>
          <w:bottom w:w="0" w:type="dxa"/>
          <w:right w:w="0" w:type="dxa"/>
        </w:tblCellMar>
      </w:tblPr>
      <w:tblGrid>
        <w:gridCol w:w="3125"/>
        <w:gridCol w:w="60"/>
        <w:gridCol w:w="1385"/>
        <w:gridCol w:w="60"/>
        <w:gridCol w:w="2375"/>
      </w:tblGrid>
      <w:tr>
        <w:trPr/>
        <w:tc>
          <w:tcPr>
            <w:tcW w:w="3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001-36422</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20-8647322</w:t>
            </w:r>
          </w:p>
        </w:tc>
      </w:tr>
      <w:tr>
        <w:trPr/>
        <w:tc>
          <w:tcPr>
            <w:tcW w:w="3125" w:type="dxa"/>
            <w:tcBorders/>
            <w:vAlign w:val="center"/>
          </w:tcPr>
          <w:p>
            <w:pPr>
              <w:pStyle w:val="TableContents"/>
              <w:bidi w:val="0"/>
              <w:spacing w:before="0" w:after="283"/>
              <w:jc w:val="center"/>
              <w:rPr>
                <w:b/>
              </w:rPr>
            </w:pPr>
            <w:r>
              <w:rPr>
                <w:b/>
              </w:rPr>
              <w:t>(State or other jurisdiction of</w:t>
              <w:br/>
              <w:t>incorporation or organization)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(I.R.S. Employer</w:t>
              <w:br/>
              <w:t>Identification Number)</w:t>
            </w:r>
          </w:p>
        </w:tc>
      </w:tr>
    </w:tbl>
    <w:p>
      <w:pPr>
        <w:pStyle w:val="TextBody"/>
        <w:bidi w:val="0"/>
        <w:spacing w:before="0" w:after="0"/>
        <w:jc w:val="left"/>
        <w:rPr/>
      </w:pPr>
      <w:r>
        <w:rPr/>
        <w:t> </w:t>
      </w:r>
    </w:p>
    <w:tbl>
      <w:tblPr>
        <w:tblW w:w="5138" w:type="dxa"/>
        <w:jc w:val="left"/>
        <w:tblInd w:w="0" w:type="dxa"/>
        <w:tblLayout w:type="fixed"/>
        <w:tblCellMar>
          <w:top w:w="0" w:type="dxa"/>
          <w:left w:w="0" w:type="dxa"/>
          <w:bottom w:w="0" w:type="dxa"/>
          <w:right w:w="0" w:type="dxa"/>
        </w:tblCellMar>
      </w:tblPr>
      <w:tblGrid>
        <w:gridCol w:w="1778"/>
        <w:gridCol w:w="1071"/>
        <w:gridCol w:w="1084"/>
        <w:gridCol w:w="60"/>
        <w:gridCol w:w="1145"/>
      </w:tblGrid>
      <w:tr>
        <w:trPr/>
        <w:tc>
          <w:tcPr>
            <w:tcW w:w="1778"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vAlign w:val="center"/>
          </w:tcPr>
          <w:p>
            <w:pPr>
              <w:pStyle w:val="TableContents"/>
              <w:bidi w:val="0"/>
              <w:spacing w:before="0" w:after="283"/>
              <w:jc w:val="center"/>
              <w:rPr>
                <w:b/>
              </w:rPr>
            </w:pPr>
            <w:r>
              <w:rPr>
                <w:b/>
              </w:rPr>
              <w:t>3150 Sabre Drive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vAlign w:val="center"/>
          </w:tcPr>
          <w:p>
            <w:pPr>
              <w:pStyle w:val="TableContents"/>
              <w:bidi w:val="0"/>
              <w:spacing w:before="0" w:after="283"/>
              <w:jc w:val="center"/>
              <w:rPr>
                <w:b/>
              </w:rPr>
            </w:pPr>
            <w:r>
              <w:rPr>
                <w:b/>
              </w:rPr>
              <w:t>Southlake, TX</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76092</w:t>
            </w:r>
          </w:p>
        </w:tc>
      </w:tr>
      <w:tr>
        <w:trPr/>
        <w:tc>
          <w:tcPr>
            <w:tcW w:w="3933" w:type="dxa"/>
            <w:gridSpan w:val="3"/>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(682) 605-1000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140" w:type="dxa"/>
        <w:jc w:val="left"/>
        <w:tblInd w:w="0" w:type="dxa"/>
        <w:tblLayout w:type="fixed"/>
        <w:tblCellMar>
          <w:top w:w="0" w:type="dxa"/>
          <w:left w:w="0" w:type="dxa"/>
          <w:bottom w:w="0" w:type="dxa"/>
          <w:right w:w="0" w:type="dxa"/>
        </w:tblCellMar>
      </w:tblPr>
      <w:tblGrid>
        <w:gridCol w:w="2990"/>
        <w:gridCol w:w="60"/>
        <w:gridCol w:w="665"/>
        <w:gridCol w:w="60"/>
        <w:gridCol w:w="3365"/>
      </w:tblGrid>
      <w:tr>
        <w:trPr/>
        <w:tc>
          <w:tcPr>
            <w:tcW w:w="2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65" w:type="dxa"/>
            <w:tcBorders/>
            <w:vAlign w:val="center"/>
          </w:tcPr>
          <w:p>
            <w:pPr>
              <w:pStyle w:val="TableContents"/>
              <w:bidi w:val="0"/>
              <w:spacing w:before="0" w:after="283"/>
              <w:jc w:val="left"/>
              <w:rPr>
                <w:sz w:val="4"/>
                <w:szCs w:val="4"/>
              </w:rPr>
            </w:pPr>
            <w:r>
              <w:rPr>
                <w:sz w:val="4"/>
                <w:szCs w:val="4"/>
              </w:rPr>
            </w:r>
          </w:p>
        </w:tc>
      </w:tr>
      <w:tr>
        <w:trPr/>
        <w:tc>
          <w:tcPr>
            <w:tcW w:w="299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w:t>
            </w:r>
          </w:p>
        </w:tc>
        <w:tc>
          <w:tcPr>
            <w:tcW w:w="60" w:type="dxa"/>
            <w:tcBorders/>
            <w:vAlign w:val="center"/>
          </w:tcPr>
          <w:p>
            <w:pPr>
              <w:pStyle w:val="TableContents"/>
              <w:bidi w:val="0"/>
              <w:spacing w:before="0" w:after="283"/>
              <w:jc w:val="left"/>
              <w:rPr/>
            </w:pPr>
            <w:r>
              <w:rPr/>
              <w:t> </w:t>
            </w:r>
          </w:p>
        </w:tc>
        <w:tc>
          <w:tcPr>
            <w:tcW w:w="33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2990" w:type="dxa"/>
            <w:tcBorders/>
            <w:vAlign w:val="center"/>
          </w:tcPr>
          <w:p>
            <w:pPr>
              <w:pStyle w:val="TableContents"/>
              <w:bidi w:val="0"/>
              <w:spacing w:before="0" w:after="283"/>
              <w:jc w:val="center"/>
              <w:rPr/>
            </w:pPr>
            <w:r>
              <w:rPr/>
              <w:t>Common Stock, $.01 par value</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SABR</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05" w:type="dxa"/>
        <w:jc w:val="left"/>
        <w:tblInd w:w="0" w:type="dxa"/>
        <w:tblLayout w:type="fixed"/>
        <w:tblCellMar>
          <w:top w:w="0" w:type="dxa"/>
          <w:left w:w="0" w:type="dxa"/>
          <w:bottom w:w="0" w:type="dxa"/>
          <w:right w:w="0" w:type="dxa"/>
        </w:tblCellMar>
      </w:tblPr>
      <w:tblGrid>
        <w:gridCol w:w="965"/>
        <w:gridCol w:w="3740"/>
      </w:tblGrid>
      <w:tr>
        <w:trPr/>
        <w:tc>
          <w:tcPr>
            <w:tcW w:w="965" w:type="dxa"/>
            <w:tcBorders/>
            <w:vAlign w:val="center"/>
          </w:tcPr>
          <w:p>
            <w:pPr>
              <w:pStyle w:val="TableContents"/>
              <w:bidi w:val="0"/>
              <w:spacing w:before="0" w:after="283"/>
              <w:jc w:val="left"/>
              <w:rPr>
                <w:b/>
              </w:rPr>
            </w:pPr>
            <w:r>
              <w:rPr>
                <w:b/>
              </w:rPr>
              <w:t>Item 1.01</w:t>
            </w:r>
          </w:p>
        </w:tc>
        <w:tc>
          <w:tcPr>
            <w:tcW w:w="37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4, 2026, Sabre Securitization, LLC, a special purpose entity (the “SPE”) that is an indirect subsidiary of Sabre Corporation (“Sabre” or the “Company”), entered into an amendment (the “Amendment”) to its accounts receivable securitization facility with PNC Capital Markets LLC, as structuring agent, PNC Bank, N.A., as administrative agent (the “Administrative Agent”) and Class A lender, and various entities party thereto as Class B lenders (the “AR Facility”), pursuant to which the parties agreed to certain changes to the AR Facility that are expected to become effective on September 30, 2026 following the satisfaction of certain conditions precedent (the “Effective Date Changes”). In addition to adding Sabre Asia Pacific PTE. Ltd., a subsidiary of the Company, as an originator under the AR Facility, the Effective Date Changes will increase the overall size of the AR Facility from $115 million to $130 million and extend the maturity date to September 28, 2029, subject to certain springing maturity conditions summarized below. Upon the satisfaction of the conditions precedent to the Effective Date Changes, the AR Facility will consist of the existing $120 million “first-in, last-out” tranche provided by various entities advised by affiliates of Centerbridge Partners, L.P. and a $130 million revolving tranche provided by PNC Bank, N.A.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AR Facility, certain subsidiaries of the Company have entered into (and may from time to time enter into) sale and contribution agreements pursuant to which such subsidiaries sell and/or contribute on an ongoing basis substantially all of their accounts receivable and related assets (collectively, the “Receivables”) to the SPE, a separate legal subsidiary of the Company whose sole business consists of the purchase, or acceptance through capital contributions, of the Receivables. Upon the satisfaction of the conditions precedent to the Effective Date Changes, a subsidiary of the Company based in Singapore will become party to a sale and contribution agreement pursuant to which it will sell substantially all of Receivables to the SPE. </w:t>
      </w:r>
    </w:p>
    <w:p>
      <w:pPr>
        <w:pStyle w:val="TextBody"/>
        <w:bidi w:val="0"/>
        <w:spacing w:before="240" w:after="0"/>
        <w:jc w:val="left"/>
        <w:rPr>
          <w:rFonts w:ascii="Times New Roman" w:hAnsi="Times New Roman"/>
          <w:sz w:val="20"/>
        </w:rPr>
      </w:pPr>
      <w:r>
        <w:rPr>
          <w:rFonts w:ascii="Times New Roman" w:hAnsi="Times New Roman"/>
          <w:sz w:val="20"/>
        </w:rPr>
        <w:t xml:space="preserve">The SPE’s assets are not available to satisfy any claims of other creditors of the Company, the Originators, or any other subsidiary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SPE will continue to finance its ongoing acquisitions of the Receivables in part by continuing to obtain secured loans from the lenders under the AR Facility. The amount available for borrowings at any one time under the AR Facility is limited to a borrowing base amount calculated based on the outstanding balance of eligible Receivables, subject to certain reserves, concentration limits, and other limitations. Upon the satisfaction of the conditions precedent to the Effective Date Changes, borrowings under the AR Facility will bear interest based on SOFR (as determined in accordance with the AR Facility), in each case subject to a minimum floor of 0 basis points, plus a drawn fee in the amount of 275 basis points for any “Class A Lender” (as defined therein) and a drawn fee in the amount of 625 basis points for the “Class B Lenders” (as defined therein). The AR Facility includes certain call protection provisions, which may require the SPE to pay additional fees to the Class B Lenders in connection with voluntary or mandatory prepayments made during specified periods. The SPE also pays a fee on the undrawn commitments available to it under the AR Facility. Interest and fees payable by the SPE under the AR Facility are due monthly. </w:t>
      </w:r>
    </w:p>
    <w:p>
      <w:pPr>
        <w:pStyle w:val="TextBody"/>
        <w:bidi w:val="0"/>
        <w:spacing w:before="240" w:after="0"/>
        <w:jc w:val="left"/>
        <w:rPr>
          <w:rFonts w:ascii="Times New Roman" w:hAnsi="Times New Roman"/>
          <w:sz w:val="20"/>
        </w:rPr>
      </w:pPr>
      <w:r>
        <w:rPr>
          <w:rFonts w:ascii="Times New Roman" w:hAnsi="Times New Roman"/>
          <w:sz w:val="20"/>
        </w:rPr>
        <w:t xml:space="preserve">The SPE pledged its ownership interest in the Receivables as collateral security for all amounts outstanding under the AR Facility, and the Servicers perform administrative and collection services relating to the Receivables on behalf of the SPE for a fee. </w:t>
      </w:r>
    </w:p>
    <w:p>
      <w:pPr>
        <w:pStyle w:val="TextBody"/>
        <w:bidi w:val="0"/>
        <w:spacing w:before="240" w:after="0"/>
        <w:jc w:val="left"/>
        <w:rPr>
          <w:rFonts w:ascii="Times New Roman" w:hAnsi="Times New Roman"/>
          <w:sz w:val="20"/>
        </w:rPr>
      </w:pPr>
      <w:r>
        <w:rPr>
          <w:rFonts w:ascii="Times New Roman" w:hAnsi="Times New Roman"/>
          <w:sz w:val="20"/>
        </w:rPr>
        <w:t xml:space="preserve">Upon the satisfaction of the conditions precedent to the Effective Date Changes, the AR Facility will have a scheduled termination date in September 2029, subject to a springing maturity of 91 days inside intervening maturities of certain indebtedness of the Company and its subsidiaries in excess of $65.0 million in aggregate principal amount, unless extended in accordance with its terms or earlier terminated, at which time no further advances will be available and the obligations thereunder repaid in full by no later than (i) the date that is ninety (90) days following such date or (ii) such earlier date on which the loans under the AR Facility become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Although the Company expects the conditions precedent to the effectiveness of the Effective Date Changes will be satisfied timely and the Effective Date Changes with respect to the AR Facility will go into effect, in the event that the conditions precedent are not satisfied, the AR Facility will continue in effect on its existing terms, the Amendment will terminate, and the Effective Date Changes will not be effective.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description of the Amendment does not purport to be complete and is qualified in its entirety by reference to the Amendment, which is attached to this Form 8-K as Exhibit 10.1 and incorporated herein by reference.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34"/>
        <w:gridCol w:w="9271"/>
      </w:tblGrid>
      <w:tr>
        <w:trPr/>
        <w:tc>
          <w:tcPr>
            <w:tcW w:w="934" w:type="dxa"/>
            <w:tcBorders/>
            <w:vAlign w:val="center"/>
          </w:tcPr>
          <w:p>
            <w:pPr>
              <w:pStyle w:val="TableContents"/>
              <w:bidi w:val="0"/>
              <w:spacing w:before="0" w:after="283"/>
              <w:jc w:val="left"/>
              <w:rPr>
                <w:b/>
              </w:rPr>
            </w:pPr>
            <w:r>
              <w:rPr>
                <w:b/>
              </w:rPr>
              <w:t>Item 2.03</w:t>
            </w:r>
          </w:p>
        </w:tc>
        <w:tc>
          <w:tcPr>
            <w:tcW w:w="927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a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disclosure set forth under Item 1.01 above is incorporated herein by reference. </w:t>
      </w:r>
      <w:r>
        <w:br w:type="page"/>
      </w:r>
    </w:p>
    <w:p>
      <w:pPr>
        <w:pStyle w:val="HorizontalLine"/>
        <w:bidi w:val="0"/>
        <w:jc w:val="left"/>
        <w:rPr/>
      </w:pPr>
      <w:r>
        <w:rPr/>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5"/>
        <w:gridCol w:w="120"/>
        <w:gridCol w:w="963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3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33770dex101.htm">
              <w:r>
                <w:rPr>
                  <w:rStyle w:val="InternetLink"/>
                </w:rPr>
                <w:t xml:space="preserve">Fourth Amendment to Receivables Financing Agreement, dated as of August 4, 2026, among Sabre Securitization, LLC, as borrower, Sabre Corporation, as parent, Sabre GLBL, Inc., Sabre Asia Pacific PTE. Ltd and Sabre Global Technologies Limited, as servicers, PNC Bank, National Association, as administrative agent and Class A Lender Representative, Centerbridge Credit CS, L.P., as Class B Lender Representative, the lenders party thereto, and PNC Capital Markets LLC, as structuring agent.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Cover Page Interactive Data File-formatted as Inline XBRL.</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Dated: August 7, 2026 </w:t>
      </w:r>
    </w:p>
    <w:p>
      <w:pPr>
        <w:pStyle w:val="TextBody"/>
        <w:bidi w:val="0"/>
        <w:spacing w:before="0" w:after="0"/>
        <w:jc w:val="left"/>
        <w:rPr/>
      </w:pPr>
      <w:r>
        <w:rPr/>
        <w:t> </w:t>
      </w:r>
    </w:p>
    <w:tbl>
      <w:tblPr>
        <w:tblW w:w="5800" w:type="dxa"/>
        <w:jc w:val="left"/>
        <w:tblInd w:w="0" w:type="dxa"/>
        <w:tblLayout w:type="fixed"/>
        <w:tblCellMar>
          <w:top w:w="0" w:type="dxa"/>
          <w:left w:w="0" w:type="dxa"/>
          <w:bottom w:w="0" w:type="dxa"/>
          <w:right w:w="0" w:type="dxa"/>
        </w:tblCellMar>
      </w:tblPr>
      <w:tblGrid>
        <w:gridCol w:w="665"/>
        <w:gridCol w:w="60"/>
        <w:gridCol w:w="507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75" w:type="dxa"/>
            <w:tcBorders/>
            <w:vAlign w:val="center"/>
          </w:tcPr>
          <w:p>
            <w:pPr>
              <w:pStyle w:val="TableContents"/>
              <w:bidi w:val="0"/>
              <w:spacing w:before="0" w:after="283"/>
              <w:jc w:val="left"/>
              <w:rPr>
                <w:sz w:val="4"/>
                <w:szCs w:val="4"/>
              </w:rPr>
            </w:pPr>
            <w:r>
              <w:rPr>
                <w:sz w:val="4"/>
                <w:szCs w:val="4"/>
              </w:rPr>
            </w:r>
          </w:p>
        </w:tc>
      </w:tr>
      <w:tr>
        <w:trPr/>
        <w:tc>
          <w:tcPr>
            <w:tcW w:w="5800" w:type="dxa"/>
            <w:gridSpan w:val="3"/>
            <w:tcBorders/>
            <w:vAlign w:val="center"/>
          </w:tcPr>
          <w:p>
            <w:pPr>
              <w:pStyle w:val="TableContents"/>
              <w:bidi w:val="0"/>
              <w:spacing w:before="0" w:after="283"/>
              <w:jc w:val="left"/>
              <w:rPr/>
            </w:pPr>
            <w:r>
              <w:rPr/>
              <w:t>Sabre Corporation</w:t>
            </w:r>
          </w:p>
        </w:tc>
      </w:tr>
      <w:tr>
        <w:trPr/>
        <w:tc>
          <w:tcPr>
            <w:tcW w:w="665" w:type="dxa"/>
            <w:tcBorders/>
            <w:vAlign w:val="center"/>
          </w:tcPr>
          <w:p>
            <w:pPr>
              <w:pStyle w:val="TableContents"/>
              <w:bidi w:val="0"/>
              <w:spacing w:before="0" w:after="283"/>
              <w:jc w:val="left"/>
              <w:rPr>
                <w:sz w:val="4"/>
                <w:szCs w:val="4"/>
              </w:rPr>
            </w:pPr>
            <w:r>
              <w:rPr>
                <w:sz w:val="4"/>
                <w:szCs w:val="4"/>
              </w:rPr>
            </w:r>
          </w:p>
        </w:tc>
        <w:tc>
          <w:tcPr>
            <w:tcW w:w="513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Randolfi</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Michael Randolfi</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Executive Vice President and Chief Financial Officer</w:t>
            </w:r>
          </w:p>
        </w:tc>
      </w:tr>
    </w:tbl>
    <w:p>
      <w:pPr>
        <w:pStyle w:val="TextBody"/>
        <w:bidi w:val="0"/>
        <w:spacing w:before="0" w:after="0"/>
        <w:jc w:val="right"/>
        <w:rPr>
          <w:rFonts w:ascii="Times New Roman" w:hAnsi="Times New Roman"/>
          <w:b/>
          <w:sz w:val="20"/>
        </w:rPr>
      </w:pPr>
      <w:bookmarkStart w:id="2" w:name="d133770dex101.htm"/>
      <w:bookmarkStart w:id="3" w:name="ksd133770dex101"/>
      <w:bookmarkEnd w:id="2"/>
      <w:bookmarkEnd w:id="3"/>
      <w:r>
        <w:rPr>
          <w:rFonts w:ascii="Times New Roman" w:hAnsi="Times New Roman"/>
          <w:b/>
          <w:sz w:val="20"/>
        </w:rPr>
        <w:t xml:space="preserve">Exhibit 10.1 </w:t>
      </w:r>
      <w:r>
        <w:br w:type="page"/>
      </w:r>
    </w:p>
    <w:p>
      <w:pPr>
        <w:pStyle w:val="TextBody"/>
        <w:bidi w:val="0"/>
        <w:spacing w:before="24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FOURTH AMENDMENT TO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RECEIVABLES FINANCING AGREEMENT </w:t>
      </w:r>
    </w:p>
    <w:p>
      <w:pPr>
        <w:pStyle w:val="TextBody"/>
        <w:bidi w:val="0"/>
        <w:spacing w:before="240" w:after="0"/>
        <w:jc w:val="left"/>
        <w:rPr>
          <w:rFonts w:ascii="Times New Roman" w:hAnsi="Times New Roman"/>
          <w:sz w:val="20"/>
        </w:rPr>
      </w:pPr>
      <w:r>
        <w:rPr>
          <w:rFonts w:ascii="Times New Roman" w:hAnsi="Times New Roman"/>
          <w:sz w:val="20"/>
        </w:rPr>
        <w:t>This FOURTH AMENDMENT TO THE RECEIVABLES FINANCING AGREEMENT (this “</w:t>
      </w:r>
      <w:r>
        <w:rPr>
          <w:rFonts w:ascii="Times New Roman" w:hAnsi="Times New Roman"/>
          <w:sz w:val="20"/>
          <w:u w:val="single"/>
        </w:rPr>
        <w:t>Amendment</w:t>
      </w:r>
      <w:r>
        <w:rPr>
          <w:rFonts w:ascii="Times New Roman" w:hAnsi="Times New Roman"/>
          <w:sz w:val="20"/>
        </w:rPr>
        <w:t>”), dated as of August 4, 2026 (the “</w:t>
      </w:r>
      <w:r>
        <w:rPr>
          <w:rFonts w:ascii="Times New Roman" w:hAnsi="Times New Roman"/>
          <w:sz w:val="20"/>
          <w:u w:val="single"/>
        </w:rPr>
        <w:t>Signing Date</w:t>
      </w:r>
      <w:r>
        <w:rPr>
          <w:rFonts w:ascii="Times New Roman" w:hAnsi="Times New Roman"/>
          <w:sz w:val="20"/>
        </w:rPr>
        <w:t xml:space="preserve">”), is entered into by and among the following parties: </w:t>
      </w:r>
    </w:p>
    <w:p>
      <w:pPr>
        <w:pStyle w:val="TextBody"/>
        <w:bidi w:val="0"/>
        <w:spacing w:before="120" w:after="0"/>
        <w:jc w:val="left"/>
        <w:rPr>
          <w:rFonts w:ascii="Times New Roman" w:hAnsi="Times New Roman"/>
          <w:sz w:val="20"/>
        </w:rPr>
      </w:pPr>
      <w:r>
        <w:rPr>
          <w:rFonts w:ascii="Times New Roman" w:hAnsi="Times New Roman"/>
          <w:sz w:val="20"/>
        </w:rPr>
        <w:t>(i) SABRE SECURITIZATION, LLC, a Delaware limited liability company (the “</w:t>
      </w:r>
      <w:r>
        <w:rPr>
          <w:rFonts w:ascii="Times New Roman" w:hAnsi="Times New Roman"/>
          <w:sz w:val="20"/>
          <w:u w:val="single"/>
        </w:rPr>
        <w:t>Borrower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 PNC BANK, NATIONAL ASSOCIATION (“</w:t>
      </w:r>
      <w:r>
        <w:rPr>
          <w:rFonts w:ascii="Times New Roman" w:hAnsi="Times New Roman"/>
          <w:sz w:val="20"/>
          <w:u w:val="single"/>
        </w:rPr>
        <w:t>PNC</w:t>
      </w:r>
      <w:r>
        <w:rPr>
          <w:rFonts w:ascii="Times New Roman" w:hAnsi="Times New Roman"/>
          <w:sz w:val="20"/>
        </w:rPr>
        <w:t xml:space="preserve">”), as Administrative Agent and Class A Lender Representative; </w:t>
      </w:r>
    </w:p>
    <w:p>
      <w:pPr>
        <w:pStyle w:val="TextBody"/>
        <w:bidi w:val="0"/>
        <w:spacing w:before="120" w:after="0"/>
        <w:jc w:val="left"/>
        <w:rPr>
          <w:rFonts w:ascii="Times New Roman" w:hAnsi="Times New Roman"/>
          <w:sz w:val="20"/>
        </w:rPr>
      </w:pPr>
      <w:r>
        <w:rPr>
          <w:rFonts w:ascii="Times New Roman" w:hAnsi="Times New Roman"/>
          <w:sz w:val="20"/>
        </w:rPr>
        <w:t>(iii) CENTERBRIDGE CREDIT CS, L.P. (“</w:t>
      </w:r>
      <w:r>
        <w:rPr>
          <w:rFonts w:ascii="Times New Roman" w:hAnsi="Times New Roman"/>
          <w:sz w:val="20"/>
          <w:u w:val="single"/>
        </w:rPr>
        <w:t>Centerbridge</w:t>
      </w:r>
      <w:r>
        <w:rPr>
          <w:rFonts w:ascii="Times New Roman" w:hAnsi="Times New Roman"/>
          <w:sz w:val="20"/>
        </w:rPr>
        <w:t xml:space="preserve">”), as Class B Lender Representative; </w:t>
      </w:r>
    </w:p>
    <w:p>
      <w:pPr>
        <w:pStyle w:val="TextBody"/>
        <w:bidi w:val="0"/>
        <w:spacing w:before="120" w:after="0"/>
        <w:jc w:val="left"/>
        <w:rPr>
          <w:rFonts w:ascii="Times New Roman" w:hAnsi="Times New Roman"/>
          <w:sz w:val="20"/>
        </w:rPr>
      </w:pPr>
      <w:r>
        <w:rPr>
          <w:rFonts w:ascii="Times New Roman" w:hAnsi="Times New Roman"/>
          <w:sz w:val="20"/>
        </w:rPr>
        <w:t xml:space="preserve">(iv) each of the undersigned designated as a Class A Lender on the signature pages hereto; </w:t>
      </w:r>
    </w:p>
    <w:p>
      <w:pPr>
        <w:pStyle w:val="TextBody"/>
        <w:bidi w:val="0"/>
        <w:spacing w:before="120" w:after="0"/>
        <w:jc w:val="left"/>
        <w:rPr>
          <w:rFonts w:ascii="Times New Roman" w:hAnsi="Times New Roman"/>
          <w:sz w:val="20"/>
        </w:rPr>
      </w:pPr>
      <w:r>
        <w:rPr>
          <w:rFonts w:ascii="Times New Roman" w:hAnsi="Times New Roman"/>
          <w:sz w:val="20"/>
        </w:rPr>
        <w:t xml:space="preserve">(v) each of the undersigned designated as a Class B Lender on the signature pages hereto; </w:t>
      </w:r>
    </w:p>
    <w:p>
      <w:pPr>
        <w:pStyle w:val="TextBody"/>
        <w:bidi w:val="0"/>
        <w:spacing w:before="120" w:after="0"/>
        <w:jc w:val="left"/>
        <w:rPr>
          <w:rFonts w:ascii="Times New Roman" w:hAnsi="Times New Roman"/>
          <w:sz w:val="20"/>
        </w:rPr>
      </w:pPr>
      <w:r>
        <w:rPr>
          <w:rFonts w:ascii="Times New Roman" w:hAnsi="Times New Roman"/>
          <w:sz w:val="20"/>
        </w:rPr>
        <w:t>(vi) SABRE GLBL INC., a Delaware corporation, in its individual capacity (“</w:t>
      </w:r>
      <w:r>
        <w:rPr>
          <w:rFonts w:ascii="Times New Roman" w:hAnsi="Times New Roman"/>
          <w:sz w:val="20"/>
          <w:u w:val="single"/>
        </w:rPr>
        <w:t>Sabre</w:t>
      </w:r>
      <w:r>
        <w:rPr>
          <w:rFonts w:ascii="Times New Roman" w:hAnsi="Times New Roman"/>
          <w:sz w:val="20"/>
        </w:rPr>
        <w:t>”) and as an initial Servicer (in such capacity, together with its successors and assigns in such capacity, the “</w:t>
      </w:r>
      <w:r>
        <w:rPr>
          <w:rFonts w:ascii="Times New Roman" w:hAnsi="Times New Roman"/>
          <w:sz w:val="20"/>
          <w:u w:val="single"/>
        </w:rPr>
        <w:t>U.S. Servicer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(vii) SABRE GLOBAL TECHNOLOGIES LIMITED, a private limited company organized under the laws of England and Wales, in its individual capacity (“</w:t>
      </w:r>
      <w:r>
        <w:rPr>
          <w:rFonts w:ascii="Times New Roman" w:hAnsi="Times New Roman"/>
          <w:sz w:val="20"/>
          <w:u w:val="single"/>
        </w:rPr>
        <w:t>Sabre Limited</w:t>
      </w:r>
      <w:r>
        <w:rPr>
          <w:rFonts w:ascii="Times New Roman" w:hAnsi="Times New Roman"/>
          <w:sz w:val="20"/>
        </w:rPr>
        <w:t>”) and as an initial Servicer (in such capacity, together with its successors and assigns in such capacity, the “</w:t>
      </w:r>
      <w:r>
        <w:rPr>
          <w:rFonts w:ascii="Times New Roman" w:hAnsi="Times New Roman"/>
          <w:sz w:val="20"/>
          <w:u w:val="single"/>
        </w:rPr>
        <w:t>UK Servicer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(viii) SABRE ASIA PACIFIC PTE. LTD., a private limited company incorporated under the laws of Singapore with UEN 199707985K in its individual capacity (“</w:t>
      </w:r>
      <w:r>
        <w:rPr>
          <w:rFonts w:ascii="Times New Roman" w:hAnsi="Times New Roman"/>
          <w:sz w:val="20"/>
          <w:u w:val="single"/>
        </w:rPr>
        <w:t>Sabre Asia Pacific</w:t>
      </w:r>
      <w:r>
        <w:rPr>
          <w:rFonts w:ascii="Times New Roman" w:hAnsi="Times New Roman"/>
          <w:sz w:val="20"/>
        </w:rPr>
        <w:t>”) and as an initial Servicer, (in such capacity, together with its successors and assigns in such capacity, the “</w:t>
      </w:r>
      <w:r>
        <w:rPr>
          <w:rFonts w:ascii="Times New Roman" w:hAnsi="Times New Roman"/>
          <w:sz w:val="20"/>
          <w:u w:val="single"/>
        </w:rPr>
        <w:t>SG Servicer</w:t>
      </w:r>
      <w:r>
        <w:rPr>
          <w:rFonts w:ascii="Times New Roman" w:hAnsi="Times New Roman"/>
          <w:sz w:val="20"/>
        </w:rPr>
        <w:t>”, and together with the U.S. Servicer and the UK Servicer, collectively the “</w:t>
      </w:r>
      <w:r>
        <w:rPr>
          <w:rFonts w:ascii="Times New Roman" w:hAnsi="Times New Roman"/>
          <w:sz w:val="20"/>
          <w:u w:val="single"/>
        </w:rPr>
        <w:t>Servicers</w:t>
      </w:r>
      <w:r>
        <w:rPr>
          <w:rFonts w:ascii="Times New Roman" w:hAnsi="Times New Roman"/>
          <w:sz w:val="20"/>
        </w:rPr>
        <w:t>” and each a “</w:t>
      </w:r>
      <w:r>
        <w:rPr>
          <w:rFonts w:ascii="Times New Roman" w:hAnsi="Times New Roman"/>
          <w:sz w:val="20"/>
          <w:u w:val="single"/>
        </w:rPr>
        <w:t>Servicer</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(ix) PNC CAPITAL MARKETS LLC, a Pennsylvania limited liability company, as Structuring Agent (the “</w:t>
      </w:r>
      <w:r>
        <w:rPr>
          <w:rFonts w:ascii="Times New Roman" w:hAnsi="Times New Roman"/>
          <w:sz w:val="20"/>
          <w:u w:val="single"/>
        </w:rPr>
        <w:t>Structuring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but not otherwise defined herein (including such terms used above) have the respective meanings assigned thereto in the Receivables Financing Agreement described below. </w:t>
      </w:r>
    </w:p>
    <w:p>
      <w:pPr>
        <w:pStyle w:val="TextBody"/>
        <w:bidi w:val="0"/>
        <w:spacing w:before="480" w:after="0"/>
        <w:jc w:val="center"/>
        <w:rPr>
          <w:rFonts w:ascii="Times New Roman" w:hAnsi="Times New Roman"/>
          <w:b/>
          <w:sz w:val="20"/>
        </w:rPr>
      </w:pPr>
      <w:r>
        <w:rPr>
          <w:rFonts w:ascii="Times New Roman" w:hAnsi="Times New Roman"/>
          <w:b/>
          <w:sz w:val="20"/>
        </w:rPr>
        <w:t xml:space="preserve">BACKGROUND </w:t>
      </w:r>
    </w:p>
    <w:p>
      <w:pPr>
        <w:pStyle w:val="TextBody"/>
        <w:bidi w:val="0"/>
        <w:spacing w:before="240" w:after="0"/>
        <w:jc w:val="left"/>
        <w:rPr>
          <w:rFonts w:ascii="Times New Roman" w:hAnsi="Times New Roman"/>
          <w:sz w:val="20"/>
        </w:rPr>
      </w:pPr>
      <w:r>
        <w:rPr>
          <w:rFonts w:ascii="Times New Roman" w:hAnsi="Times New Roman"/>
          <w:sz w:val="20"/>
        </w:rPr>
        <w:t>A. The Borrower, the Servicers, the Administrative Agent and the Lenders party thereto entered into that certain Receivables Financing Agreement, dated as of February 14, 2023 (as may be amended, restated, supplemented or otherwise modified from time to time, the “</w:t>
      </w:r>
      <w:r>
        <w:rPr>
          <w:rFonts w:ascii="Times New Roman" w:hAnsi="Times New Roman"/>
          <w:sz w:val="20"/>
          <w:u w:val="single"/>
        </w:rPr>
        <w:t>Receivables Financing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parties desire to (i) increase the Commitments of certain Lenders, (ii) extend the date of the Scheduled Termination Date of the Receivables Financing Agreement and (iii) add Sabre Asia Pacific Pte. Ltd. as a Servicer party to the Receivables Financing Agreement and as an Originator, and in connection therewith, enter into certain other Transaction Documents, including a Singapore-law governed Transfer Agreement. </w:t>
      </w:r>
    </w:p>
    <w:p>
      <w:pPr>
        <w:pStyle w:val="TextBody"/>
        <w:bidi w:val="0"/>
        <w:spacing w:before="240" w:after="0"/>
        <w:jc w:val="left"/>
        <w:rPr>
          <w:rFonts w:ascii="Times New Roman" w:hAnsi="Times New Roman"/>
          <w:sz w:val="20"/>
        </w:rPr>
      </w:pPr>
      <w:r>
        <w:rPr>
          <w:rFonts w:ascii="Times New Roman" w:hAnsi="Times New Roman"/>
          <w:sz w:val="20"/>
        </w:rPr>
        <w:t xml:space="preserve">C. From and after the Signing Date until the Refinancing Effective Date (defined below), the Receivables Financing Agreement shall continue in full force and effect without giving effect to the changes thereto contemplated by </w:t>
      </w:r>
      <w:r>
        <w:rPr>
          <w:rFonts w:ascii="Times New Roman" w:hAnsi="Times New Roman"/>
          <w:sz w:val="20"/>
          <w:u w:val="single"/>
        </w:rPr>
        <w:t>Section 1</w:t>
      </w:r>
      <w:r>
        <w:rPr>
          <w:rFonts w:ascii="Times New Roman" w:hAnsi="Times New Roman"/>
          <w:sz w:val="20"/>
        </w:rPr>
        <w:t xml:space="preserve"> hereof (such changes, the “</w:t>
      </w:r>
      <w:r>
        <w:rPr>
          <w:rFonts w:ascii="Times New Roman" w:hAnsi="Times New Roman"/>
          <w:sz w:val="20"/>
          <w:u w:val="single"/>
        </w:rPr>
        <w:t>RFA Changes</w:t>
      </w:r>
      <w:r>
        <w:rPr>
          <w:rFonts w:ascii="Times New Roman" w:hAnsi="Times New Roman"/>
          <w:sz w:val="20"/>
        </w:rPr>
        <w:t xml:space="preserve">”), and the RFA Changes shall not become effective until the conditions set forth in </w:t>
      </w:r>
      <w:r>
        <w:rPr>
          <w:rFonts w:ascii="Times New Roman" w:hAnsi="Times New Roman"/>
          <w:sz w:val="20"/>
          <w:u w:val="single"/>
        </w:rPr>
        <w:t>Section 6</w:t>
      </w:r>
      <w:r>
        <w:rPr>
          <w:rFonts w:ascii="Times New Roman" w:hAnsi="Times New Roman"/>
          <w:sz w:val="20"/>
        </w:rPr>
        <w:t xml:space="preserve"> hereof have been satisfied or waived in accordance with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D. The effectiveness of the RFA Changes is conditioned upon the satisfaction of certain conditions precedent, including the delivery of transaction documents and opinions of counsel in a manner similar to the conditions precedent to the initial funding under the Receivables Financing Agreement. </w:t>
      </w:r>
    </w:p>
    <w:p>
      <w:pPr>
        <w:pStyle w:val="TextBody"/>
        <w:bidi w:val="0"/>
        <w:spacing w:before="240" w:after="0"/>
        <w:jc w:val="left"/>
        <w:rPr>
          <w:rFonts w:ascii="Times New Roman" w:hAnsi="Times New Roman"/>
          <w:sz w:val="20"/>
        </w:rPr>
      </w:pPr>
      <w:r>
        <w:rPr>
          <w:rFonts w:ascii="Times New Roman" w:hAnsi="Times New Roman"/>
          <w:sz w:val="20"/>
        </w:rPr>
        <w:t>E. Concurrently herewith, the Borrower, Class A Lender Representative and the Class A Lenders are entering into that certain Amendment Fee Letter, dated as of the date hereof (the “</w:t>
      </w:r>
      <w:r>
        <w:rPr>
          <w:rFonts w:ascii="Times New Roman" w:hAnsi="Times New Roman"/>
          <w:sz w:val="20"/>
          <w:u w:val="single"/>
        </w:rPr>
        <w:t>Class A Lender Amendment Fee Letter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F. Concurrently herewith, the Borrower, the Servicers, the Class A Representative and the Class A Lender are entering into that certain Class A Fee Letter, dated as of the date hereof (the “</w:t>
      </w:r>
      <w:r>
        <w:rPr>
          <w:rFonts w:ascii="Times New Roman" w:hAnsi="Times New Roman"/>
          <w:sz w:val="20"/>
          <w:u w:val="single"/>
        </w:rPr>
        <w:t>Class A Lender Fee Letter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G. Concurrently herewith, the Borrower, the Servicers, the Class B Representative and the Class B Lenders are entering into that certain Class B Lender Fee Letter, dated as of the date hereof (the “</w:t>
      </w:r>
      <w:r>
        <w:rPr>
          <w:rFonts w:ascii="Times New Roman" w:hAnsi="Times New Roman"/>
          <w:sz w:val="20"/>
          <w:u w:val="single"/>
        </w:rPr>
        <w:t>Class B Lender Fee Letter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The parties hereto desire to enter into this Amendment and consummate the transactions contemplated hereby (including the RFA Changes) on and subject to the terms and conditions set forth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AMENDMENT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with the intention of being legally bound hereby, and in consideration of the mutual undertakings expressed herein, each party to this Amendment hereby agrees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Amendments to the Receivables Financing Agreement</w:t>
      </w:r>
      <w:r>
        <w:rPr>
          <w:rFonts w:ascii="Times New Roman" w:hAnsi="Times New Roman"/>
          <w:sz w:val="20"/>
        </w:rPr>
        <w:t xml:space="preserve">. Effective as of the Refinancing Effective Date and subject to the satisfaction of the conditions set forth in </w:t>
      </w:r>
      <w:r>
        <w:rPr>
          <w:rFonts w:ascii="Times New Roman" w:hAnsi="Times New Roman"/>
          <w:sz w:val="20"/>
          <w:u w:val="single"/>
        </w:rPr>
        <w:t>Section 6</w:t>
      </w:r>
      <w:r>
        <w:rPr>
          <w:rFonts w:ascii="Times New Roman" w:hAnsi="Times New Roman"/>
          <w:sz w:val="20"/>
        </w:rPr>
        <w:t xml:space="preserve">, the Receivables Financing Agreement will be amended as set forth in </w:t>
      </w:r>
      <w:r>
        <w:rPr>
          <w:rFonts w:ascii="Times New Roman" w:hAnsi="Times New Roman"/>
          <w:sz w:val="20"/>
          <w:u w:val="single"/>
        </w:rPr>
        <w:t>Exhibit A</w:t>
      </w:r>
      <w:r>
        <w:rPr>
          <w:rFonts w:ascii="Times New Roman" w:hAnsi="Times New Roman"/>
          <w:sz w:val="20"/>
        </w:rPr>
        <w:t xml:space="preserve"> attached hereto, such that all of the newly inserted double-underlined provisions therein (indicated textually in the same manner as the following example: </w:t>
      </w:r>
      <w:r>
        <w:rPr>
          <w:rFonts w:ascii="Times New Roman" w:hAnsi="Times New Roman"/>
          <w:color w:val="0000FF"/>
          <w:sz w:val="20"/>
          <w:u w:val="single"/>
          <w:bdr w:val="double" w:sz="2" w:space="1" w:color="000000"/>
        </w:rPr>
        <w:t>double-underlined text</w:t>
      </w:r>
      <w:r>
        <w:rPr>
          <w:rFonts w:ascii="Times New Roman" w:hAnsi="Times New Roman"/>
          <w:sz w:val="20"/>
        </w:rPr>
        <w:t xml:space="preserve">) shall be deemed to be inserted and all of the stricken text therein (indicated textually in the same manner as the following example: </w:t>
      </w:r>
      <w:r>
        <w:rPr>
          <w:rFonts w:ascii="Times New Roman" w:hAnsi="Times New Roman"/>
          <w:strike/>
          <w:color w:val="FF0000"/>
          <w:sz w:val="20"/>
        </w:rPr>
        <w:t>stricken text</w:t>
      </w:r>
      <w:r>
        <w:rPr>
          <w:rFonts w:ascii="Times New Roman" w:hAnsi="Times New Roman"/>
          <w:sz w:val="20"/>
        </w:rPr>
        <w:t xml:space="preserve">) shall be deemed to be deleted therefrom.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Representations and Warranties of the Borrower and Servicers</w:t>
      </w:r>
      <w:r>
        <w:rPr>
          <w:rFonts w:ascii="Times New Roman" w:hAnsi="Times New Roman"/>
          <w:sz w:val="20"/>
        </w:rPr>
        <w:t xml:space="preserve">. The Borrower and the Servicers each hereby represent and warrant to each of the parties hereto as of the Signing Date and as of the Refinancing Effective Date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Representations and Warranties</w:t>
      </w:r>
      <w:r>
        <w:rPr>
          <w:rFonts w:ascii="Times New Roman" w:hAnsi="Times New Roman"/>
          <w:sz w:val="20"/>
        </w:rPr>
        <w:t xml:space="preserve">. The representations and warranties made by it in the Receivables Financing Agreement and each of the other Transaction Documents to which it is a party are true and correct as of the Signing Date (after giving effect to this Amendment) and as of the Refinancing Effective Date (after giving effect to this Amendment and the RFA Changes).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Enforceability</w:t>
      </w:r>
      <w:r>
        <w:rPr>
          <w:rFonts w:ascii="Times New Roman" w:hAnsi="Times New Roman"/>
          <w:sz w:val="20"/>
        </w:rPr>
        <w:t xml:space="preserve">. The execution and delivery by it of this Amendment, and the performance of its obligations under this Amendment, the Receivables Financing Agreement (including following the effectiveness of the RFA Changes) and the other Transaction Documents to which it is a party are within its organizational powers and have been duly authorized by all necessary action on its part, and this Amendment, the Receivables Financing Agreement (including following the effectiveness of the RFA Changes) and the other Transaction Documents to which it is a party are (assuming due authorization and execution by the other parties thereto) its valid and legally binding obligations, enforceable in accordance with its terms, except (x) the enforceability thereof may be limited by bankruptcy, insolvency, reorganization, moratorium or other similar laws from time to time in effect relating to creditors’ rights, and (y) the remedy of specific performance and injunctive and other forms of equitable relief may be subject to equitable defenses and to the discretion of the court before which any proceeding therefor may be brought.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 Event of Default</w:t>
      </w:r>
      <w:r>
        <w:rPr>
          <w:rFonts w:ascii="Times New Roman" w:hAnsi="Times New Roman"/>
          <w:sz w:val="20"/>
        </w:rPr>
        <w:t xml:space="preserve">. No Event of Default, Potential Default or Financial Covenant Event has occurred and is continuing, and no Event of Default, Potential Default or Financial Covenant Event would occur as a result of this Amendment or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Entire Agreement</w:t>
      </w:r>
      <w:r>
        <w:rPr>
          <w:rFonts w:ascii="Times New Roman" w:hAnsi="Times New Roman"/>
          <w:sz w:val="20"/>
        </w:rPr>
        <w:t xml:space="preserve">. Except as otherwise amended hereby, all of the other terms and provisions of the Receivables Financing Agreement are and shall remain in full force and effect and the Receivables Financing Agreement, as amended and supplemented by this Amendment, is hereby ratified and confirmed by the parties hereto. After this Amendment becomes effective, all references in the Receivables Financing Agreement (or in any other Transaction Document) to “this Agreement”, “hereof”, “herein” or words of similar effect referring to the Receivables Financing Agreement shall be deemed to be references to the Receivables Financing Agreement as amended by this Amendment. This Amendment contains the entire understanding of the parties with respect to the provisions of the Receivables Financing Agreement amended and supplemented hereby and may not be modified except in writing signed by all parties. This Amendment shall not be deemed, either expressly or impliedly, to waive, amend or supplement any provision of the Receivables Financing Agreement other than as set forth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Severability</w:t>
      </w:r>
      <w:r>
        <w:rPr>
          <w:rFonts w:ascii="Times New Roman" w:hAnsi="Times New Roman"/>
          <w:sz w:val="20"/>
        </w:rPr>
        <w:t xml:space="preserve">. Any provisions of this Amendment which are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Effectiveness of this Amendment</w:t>
      </w:r>
      <w:r>
        <w:rPr>
          <w:rFonts w:ascii="Times New Roman" w:hAnsi="Times New Roman"/>
          <w:sz w:val="20"/>
        </w:rPr>
        <w:t xml:space="preserve">. This Amendment shall become effective as of the date hereof, subject to the satisfaction (or waiver by the Administrative Agent, the Class A Lender Representative and the Class B Lender Representative) of each of the following conditions precedent: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the Signing Date, the Administrative Agent shall have received: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9"/>
        <w:gridCol w:w="7960"/>
      </w:tblGrid>
      <w:tr>
        <w:trPr/>
        <w:tc>
          <w:tcPr>
            <w:tcW w:w="1836"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i.</w:t>
            </w:r>
          </w:p>
        </w:tc>
        <w:tc>
          <w:tcPr>
            <w:tcW w:w="79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counterparts to this Amendment executed by each of the parties 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counterparts to the Class A Lender Amendment Fee Letter executed by each of the parties thereto and the Class A Lenders (or Structuring Agent) shall have received the “Amendment Fee” owing thereunder;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9"/>
        <w:gridCol w:w="7960"/>
      </w:tblGrid>
      <w:tr>
        <w:trPr/>
        <w:tc>
          <w:tcPr>
            <w:tcW w:w="1836"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iii.</w:t>
            </w:r>
          </w:p>
        </w:tc>
        <w:tc>
          <w:tcPr>
            <w:tcW w:w="79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 of all fees and expenses due and payable on or prior to the date hereof pursuant to the Transaction Documents, to the extent invoiced on or prior to the Signing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the Signing Date, the Class A Lender Representative shall have received counterparts of the Class A Lender Fee Letter executed by each of the parties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the Signing Date, the Class B Lender Representative shall have received counterparts of the Class B Lender Fee Letter executed by each of the parties thereto;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Effectiveness of the RFA Changes</w:t>
      </w:r>
      <w:r>
        <w:rPr>
          <w:rFonts w:ascii="Times New Roman" w:hAnsi="Times New Roman"/>
          <w:sz w:val="20"/>
        </w:rPr>
        <w:t>. The RFA Changes shall become effective as of September 30, 2026 (the “</w:t>
      </w:r>
      <w:r>
        <w:rPr>
          <w:rFonts w:ascii="Times New Roman" w:hAnsi="Times New Roman"/>
          <w:sz w:val="20"/>
          <w:u w:val="single"/>
        </w:rPr>
        <w:t>Refinancing Effective Date</w:t>
      </w:r>
      <w:r>
        <w:rPr>
          <w:rFonts w:ascii="Times New Roman" w:hAnsi="Times New Roman"/>
          <w:sz w:val="20"/>
        </w:rPr>
        <w:t xml:space="preserve">”), subject to the satisfaction (or waiver by the Administrative Agent, the Class A Lender Representative and the Class B Lender Representative) of each of the following conditions precedent: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the Administrative Agent, the Class A Lender Representative and the Class B Lender Representative shall have each received and approved each of the documents, agreements (in fully executed form), opinions of counsel, lien search results, financing statement filings, certificates and other deliverables listed as “</w:t>
            </w:r>
            <w:r>
              <w:rPr>
                <w:rFonts w:ascii="Times New Roman" w:hAnsi="Times New Roman"/>
                <w:i/>
                <w:sz w:val="20"/>
              </w:rPr>
              <w:t>Effective Date Deliverables</w:t>
            </w:r>
            <w:r>
              <w:rPr>
                <w:rFonts w:ascii="Times New Roman" w:hAnsi="Times New Roman"/>
                <w:sz w:val="20"/>
              </w:rPr>
              <w:t xml:space="preserve">” on the closing memorandum attached as </w:t>
            </w:r>
            <w:r>
              <w:rPr>
                <w:rFonts w:ascii="Times New Roman" w:hAnsi="Times New Roman"/>
                <w:sz w:val="20"/>
                <w:u w:val="single"/>
              </w:rPr>
              <w:t>Exhibit B</w:t>
            </w:r>
            <w:r>
              <w:rPr>
                <w:rFonts w:ascii="Times New Roman" w:hAnsi="Times New Roman"/>
                <w:sz w:val="20"/>
              </w:rPr>
              <w:t xml:space="preserve"> hereto, in each case, in form and substance reasonably satisfactory to the Administrative Agent, the Class A Lender Representative and the Class B Lender Representative;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fees and expenses payable by the Borrower on or prior to the Refinancing Effective Date to the Credit Parties, including the upfront fee set forth in the Class B Fee Letter, shall have been paid in full in accordance with the terms of the Transaction Documents;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UCC financing statements (or any comparable security interests in Singapore and the United Kingdom) filed against any Originator (other than those filed in connection with the Transaction Documents in favor of the Administrative Agent) shall cover any Receivables and Related Security as collateral described therein (even if such descriptions are overbroad) and any such UCC financing statements (or any comparable security interests in Singapore and the United Kingdom) identified prior to the Refinancing Effective Date shall have been amended to exclude Receivables and Related Rights from the collateral described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Event of Default, Potential Default or Financial Covenant Event shall have occurred and be continuing, or would result from the transactions contemplated by this Amendment;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Class A Borrowing Base Deficit or Borrowing Base Deficit shall exist or would exist after giving effect to this Amendment and the transactions contemplated hereby. </w:t>
            </w:r>
          </w:p>
        </w:tc>
      </w:tr>
    </w:tbl>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Interim Period</w:t>
      </w:r>
      <w:r>
        <w:rPr>
          <w:rFonts w:ascii="Times New Roman" w:hAnsi="Times New Roman"/>
          <w:sz w:val="20"/>
        </w:rPr>
        <w:t>. From and after the Signing Date until the Refinancing Effective Date (such period, the “</w:t>
      </w:r>
      <w:r>
        <w:rPr>
          <w:rFonts w:ascii="Times New Roman" w:hAnsi="Times New Roman"/>
          <w:sz w:val="20"/>
          <w:u w:val="single"/>
        </w:rPr>
        <w:t>Interim Period</w:t>
      </w:r>
      <w:r>
        <w:rPr>
          <w:rFonts w:ascii="Times New Roman" w:hAnsi="Times New Roman"/>
          <w:sz w:val="20"/>
        </w:rPr>
        <w:t xml:space="preserve">”), the Receivables Financing Agreement shall continue in full force and effect without giving effect to this Amendment. During the Interim Period, the Borrower-Related Parties shall use commercially reasonable efforts to satisfy the conditions precedent set forth in </w:t>
      </w:r>
      <w:r>
        <w:rPr>
          <w:rFonts w:ascii="Times New Roman" w:hAnsi="Times New Roman"/>
          <w:sz w:val="20"/>
          <w:u w:val="single"/>
        </w:rPr>
        <w:t>Section 6</w:t>
      </w:r>
      <w:r>
        <w:rPr>
          <w:rFonts w:ascii="Times New Roman" w:hAnsi="Times New Roman"/>
          <w:sz w:val="20"/>
        </w:rPr>
        <w:t xml:space="preserve"> hereof.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Termination of Amendment</w:t>
      </w:r>
      <w:r>
        <w:rPr>
          <w:rFonts w:ascii="Times New Roman" w:hAnsi="Times New Roman"/>
          <w:sz w:val="20"/>
        </w:rPr>
        <w:t xml:space="preserve">. If the conditions set forth in </w:t>
      </w:r>
      <w:r>
        <w:rPr>
          <w:rFonts w:ascii="Times New Roman" w:hAnsi="Times New Roman"/>
          <w:sz w:val="20"/>
          <w:u w:val="single"/>
        </w:rPr>
        <w:t>Section 6</w:t>
      </w:r>
      <w:r>
        <w:rPr>
          <w:rFonts w:ascii="Times New Roman" w:hAnsi="Times New Roman"/>
          <w:sz w:val="20"/>
        </w:rPr>
        <w:t xml:space="preserve"> have not been satisfied and as a result the Refinancing Effective Date does not occur on September 30, 2026 (or such later date as approved in writing by the Administrative Agent, the Class A Lender Representative and the Class B Lender Representative), this Amendment shall automatically terminate and be of no further force or effect, and the Receivables Financing Agreement shall continue in full force and effect without giving effect to this Amendment or the RFA Changes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Governing Law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THIS AMENDMENT, INCLUDING THE RIGHTS AND DUTIES OF THE PARTIES HERETO, SHALL BE GOVERNED BY, AND CONSTRUED IN ACCORDANCE WITH, THE LAWS OF THE STATE OF NEW YORK. </w:t>
      </w:r>
    </w:p>
    <w:p>
      <w:pPr>
        <w:pStyle w:val="TextBody"/>
        <w:bidi w:val="0"/>
        <w:spacing w:before="120" w:after="0"/>
        <w:jc w:val="left"/>
        <w:rPr>
          <w:rFonts w:ascii="Times New Roman" w:hAnsi="Times New Roman"/>
          <w:sz w:val="20"/>
        </w:rPr>
      </w:pPr>
      <w:r>
        <w:rPr>
          <w:rFonts w:ascii="Times New Roman" w:hAnsi="Times New Roman"/>
          <w:sz w:val="20"/>
        </w:rPr>
        <w:t xml:space="preserve">(b) EACH PARTY HERETO HEREBY IRREVOCABLY SUBMITS TO THE EXCLUSIVE JURISDICTION OF ANY NEW YORK STATE OR FEDERAL COURT SITTING IN NEW YORK CITY, NEW YORK IN ANY ACTION OR PROCEEDING ARISING OUT OF OR RELATING TO THIS AMENDMENT OR ANY OTHER TRANSACTION DOCUMENT, AND EACH PARTY HERETO HEREBY IRREVOCABLY AGREES THAT ALL CLAIMS IN RESPECT OF SUCH ACTION OR PROCEEDING SHALL BE HEARD AND DETERMINED IN SUCH NEW YORK STATE COURT OR, TO THE EXTENT PERMITTED BY LAW, IN SUCH FEDERAL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COURT. EACH PARTY HERETO HEREBY IRREVOCABLY WAIVES, TO THE FULLEST EXTENT IT MAY EFFECTIVELY DO SO, THE DEFENSE OF AN INCONVENIENT FORUM TO THE MAINTENANCE OF SUCH ACTION OR PROCEEDING. THE PARTIES HERETO AGREE THAT A FINAL JUDGMENT IN ANY SUCH ACTION OR PROCEEDING SHALL BE CONCLUSIVE AND MAY BE ENFORCED IN OTHER JURISDICTIONS BY SUIT ON THE JUDGMENT OR IN ANY OTHER MANNER PROVIDED BY LAW. </w:t>
      </w:r>
    </w:p>
    <w:p>
      <w:pPr>
        <w:pStyle w:val="TextBody"/>
        <w:bidi w:val="0"/>
        <w:spacing w:before="120" w:after="0"/>
        <w:jc w:val="left"/>
        <w:rPr>
          <w:rFonts w:ascii="Times New Roman" w:hAnsi="Times New Roman"/>
          <w:sz w:val="20"/>
        </w:rPr>
      </w:pPr>
      <w:r>
        <w:rPr>
          <w:rFonts w:ascii="Times New Roman" w:hAnsi="Times New Roman"/>
          <w:sz w:val="20"/>
        </w:rPr>
        <w:t xml:space="preserve">(c) EACH PARTY HERETO HEREBY CONSENTS TO THE SERVICE OF ANY AND ALL PROCESS IN ANY SUCH ACTION OR PROCEEDING BY THE MAILING OF COPIES OF SUCH PROCESS TO IT AT ITS ADDRESS SPECIFIED IN THE RECEIVABLES FINANCING AGREEMENT. NOTHING IN THIS PARAGRAPH SHALL AFFECT THE RIGHT OF ANY PARTY HERETO TO SERVE LEGAL PROCESS IN ANY OTHER MANNER PERMITTED BY LAW. </w:t>
      </w:r>
    </w:p>
    <w:p>
      <w:pPr>
        <w:pStyle w:val="TextBody"/>
        <w:bidi w:val="0"/>
        <w:spacing w:before="120" w:after="0"/>
        <w:jc w:val="left"/>
        <w:rPr>
          <w:rFonts w:ascii="Times New Roman" w:hAnsi="Times New Roman"/>
          <w:sz w:val="20"/>
        </w:rPr>
      </w:pPr>
      <w:r>
        <w:rPr>
          <w:rFonts w:ascii="Times New Roman" w:hAnsi="Times New Roman"/>
          <w:sz w:val="20"/>
        </w:rPr>
        <w:t xml:space="preserve">(d) EACH PARTY HERETO HEREBY WAIVES, TO THE MAXIMUM EXTENT PERMITTED BY APPLICABLE LAW, TRIAL BY JURY IN ANY JUDICIAL PROCEEDING INVOLVING, DIRECTLY OR INDIRECTLY, ANY MATTER (WHETHER SOUNDING IN TORT, CONTRACT OR OTHERWISE) IN ANY WAY ARISING OUT OF, RELATED TO, OR CONNECTED WITH THIS AMENDMENT OR ANY OTHER TRANSACTION DOCUMENT. </w:t>
      </w:r>
    </w:p>
    <w:p>
      <w:pPr>
        <w:pStyle w:val="TextBody"/>
        <w:bidi w:val="0"/>
        <w:spacing w:before="12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Section Headings</w:t>
      </w:r>
      <w:r>
        <w:rPr>
          <w:rFonts w:ascii="Times New Roman" w:hAnsi="Times New Roman"/>
          <w:sz w:val="20"/>
        </w:rPr>
        <w:t xml:space="preserve">. The various headings of this Amendment are included for convenience only and shall not affect the meaning or interpretation of this Amendment, the Receivables Financing Agreement or any provision hereof or thereof.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Counterparts</w:t>
      </w:r>
      <w:r>
        <w:rPr>
          <w:rFonts w:ascii="Times New Roman" w:hAnsi="Times New Roman"/>
          <w:sz w:val="20"/>
        </w:rPr>
        <w:t xml:space="preserve">. This Amendment may be executed in any number of counterparts, each of which when so executed shall be deemed to be an original and all of which when taken together shall constitute one and the same instrument. Delivery of an executed counterpart hereof by facsimile or other electronic means shall be equally effective as delivery of an originally executed counterpart.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Assignees</w:t>
      </w:r>
      <w:r>
        <w:rPr>
          <w:rFonts w:ascii="Times New Roman" w:hAnsi="Times New Roman"/>
          <w:sz w:val="20"/>
        </w:rPr>
        <w:t xml:space="preserve">. By its execution hereof, the Lenders and each other Credit Party consents to the terms of this Amendment (including, subject to the satisfaction of the applicable conditions to the effectiveness thereof, the RFA Changes), and any assignee of any interest, right or obligation (including all or any portion of any Commitment or Loan) of any Lender or other Credit Party under the Receivables Financing Agreement or any other Transaction Document shall acquire any such interest, right or obligation thereunder subject to this Amendment (including, subject to the satisfaction of the applicable conditions to the effectiveness thereof, the RFA Changes).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Amendment by their duly authorized officers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SABRE SECURITIZATION, LLC,</w:t>
            </w:r>
          </w:p>
          <w:p>
            <w:pPr>
              <w:pStyle w:val="TableContents"/>
              <w:bidi w:val="0"/>
              <w:spacing w:before="0" w:after="20"/>
              <w:jc w:val="left"/>
              <w:rPr>
                <w:rFonts w:ascii="Times New Roman" w:hAnsi="Times New Roman"/>
                <w:sz w:val="20"/>
              </w:rPr>
            </w:pPr>
            <w:r>
              <w:rPr>
                <w:rFonts w:ascii="Times New Roman" w:hAnsi="Times New Roman"/>
                <w:sz w:val="20"/>
              </w:rPr>
              <w:t>as Borrower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Roushan Zenooz</w:t>
            </w:r>
          </w:p>
        </w:tc>
      </w:tr>
      <w:tr>
        <w:trPr/>
        <w:tc>
          <w:tcPr>
            <w:tcW w:w="4082" w:type="dxa"/>
            <w:gridSpan w:val="3"/>
            <w:tcBorders/>
          </w:tcPr>
          <w:p>
            <w:pPr>
              <w:pStyle w:val="TableContents"/>
              <w:bidi w:val="0"/>
              <w:spacing w:before="0" w:after="283"/>
              <w:jc w:val="left"/>
              <w:rPr/>
            </w:pPr>
            <w:r>
              <w:rPr/>
              <w:t>Name: Roushan Zenooz</w:t>
            </w:r>
          </w:p>
        </w:tc>
      </w:tr>
      <w:tr>
        <w:trPr/>
        <w:tc>
          <w:tcPr>
            <w:tcW w:w="4082" w:type="dxa"/>
            <w:gridSpan w:val="3"/>
            <w:tcBorders/>
          </w:tcPr>
          <w:p>
            <w:pPr>
              <w:pStyle w:val="TableContents"/>
              <w:bidi w:val="0"/>
              <w:spacing w:before="0" w:after="283"/>
              <w:jc w:val="left"/>
              <w:rPr/>
            </w:pPr>
            <w:r>
              <w:rPr/>
              <w:t>Title: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SABRE GLBL INC.,</w:t>
            </w:r>
          </w:p>
          <w:p>
            <w:pPr>
              <w:pStyle w:val="TableContents"/>
              <w:bidi w:val="0"/>
              <w:spacing w:before="0" w:after="20"/>
              <w:jc w:val="left"/>
              <w:rPr>
                <w:rFonts w:ascii="Times New Roman" w:hAnsi="Times New Roman"/>
                <w:sz w:val="20"/>
              </w:rPr>
            </w:pPr>
            <w:r>
              <w:rPr>
                <w:rFonts w:ascii="Times New Roman" w:hAnsi="Times New Roman"/>
                <w:sz w:val="20"/>
              </w:rPr>
              <w:t>as U.S. Servicer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Roushan Zenooz</w:t>
            </w:r>
          </w:p>
        </w:tc>
      </w:tr>
      <w:tr>
        <w:trPr/>
        <w:tc>
          <w:tcPr>
            <w:tcW w:w="4082" w:type="dxa"/>
            <w:gridSpan w:val="3"/>
            <w:tcBorders/>
          </w:tcPr>
          <w:p>
            <w:pPr>
              <w:pStyle w:val="TableContents"/>
              <w:bidi w:val="0"/>
              <w:spacing w:before="0" w:after="283"/>
              <w:jc w:val="left"/>
              <w:rPr/>
            </w:pPr>
            <w:r>
              <w:rPr/>
              <w:t>Name: Roushan Zenooz</w:t>
            </w:r>
          </w:p>
        </w:tc>
      </w:tr>
      <w:tr>
        <w:trPr/>
        <w:tc>
          <w:tcPr>
            <w:tcW w:w="4082" w:type="dxa"/>
            <w:gridSpan w:val="3"/>
            <w:tcBorders/>
          </w:tcPr>
          <w:p>
            <w:pPr>
              <w:pStyle w:val="TableContents"/>
              <w:bidi w:val="0"/>
              <w:spacing w:before="0" w:after="283"/>
              <w:jc w:val="left"/>
              <w:rPr/>
            </w:pPr>
            <w:r>
              <w:rPr/>
              <w:t>Title: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SABRE GLOBAL TECHNOLOGIES LIMITED,</w:t>
            </w:r>
          </w:p>
          <w:p>
            <w:pPr>
              <w:pStyle w:val="TableContents"/>
              <w:bidi w:val="0"/>
              <w:spacing w:before="0" w:after="20"/>
              <w:jc w:val="left"/>
              <w:rPr>
                <w:rFonts w:ascii="Times New Roman" w:hAnsi="Times New Roman"/>
                <w:sz w:val="20"/>
              </w:rPr>
            </w:pPr>
            <w:r>
              <w:rPr>
                <w:rFonts w:ascii="Times New Roman" w:hAnsi="Times New Roman"/>
                <w:sz w:val="20"/>
              </w:rPr>
              <w:t>as UK Servicer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Todd Wayne Arthur</w:t>
            </w:r>
          </w:p>
        </w:tc>
      </w:tr>
      <w:tr>
        <w:trPr/>
        <w:tc>
          <w:tcPr>
            <w:tcW w:w="4082" w:type="dxa"/>
            <w:gridSpan w:val="3"/>
            <w:tcBorders/>
          </w:tcPr>
          <w:p>
            <w:pPr>
              <w:pStyle w:val="TableContents"/>
              <w:bidi w:val="0"/>
              <w:spacing w:before="0" w:after="283"/>
              <w:jc w:val="left"/>
              <w:rPr/>
            </w:pPr>
            <w:r>
              <w:rPr/>
              <w:t>Name: Todd Wayne Arthur</w:t>
            </w:r>
          </w:p>
        </w:tc>
      </w:tr>
      <w:tr>
        <w:trPr/>
        <w:tc>
          <w:tcPr>
            <w:tcW w:w="4082" w:type="dxa"/>
            <w:gridSpan w:val="3"/>
            <w:tcBorders/>
          </w:tcPr>
          <w:p>
            <w:pPr>
              <w:pStyle w:val="TableContents"/>
              <w:bidi w:val="0"/>
              <w:spacing w:before="0" w:after="283"/>
              <w:jc w:val="left"/>
              <w:rPr/>
            </w:pPr>
            <w:r>
              <w:rPr/>
              <w:t>Title: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SABRE ASIA PACIFIC PTE. LTD.</w:t>
            </w:r>
          </w:p>
          <w:p>
            <w:pPr>
              <w:pStyle w:val="TableContents"/>
              <w:bidi w:val="0"/>
              <w:spacing w:before="0" w:after="20"/>
              <w:jc w:val="left"/>
              <w:rPr>
                <w:rFonts w:ascii="Times New Roman" w:hAnsi="Times New Roman"/>
                <w:sz w:val="20"/>
              </w:rPr>
            </w:pPr>
            <w:r>
              <w:rPr>
                <w:rFonts w:ascii="Times New Roman" w:hAnsi="Times New Roman"/>
                <w:sz w:val="20"/>
              </w:rPr>
              <w:t>as SG Servicer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Brett Scott Thorstad</w:t>
            </w:r>
          </w:p>
        </w:tc>
      </w:tr>
      <w:tr>
        <w:trPr/>
        <w:tc>
          <w:tcPr>
            <w:tcW w:w="4082" w:type="dxa"/>
            <w:gridSpan w:val="3"/>
            <w:tcBorders/>
          </w:tcPr>
          <w:p>
            <w:pPr>
              <w:pStyle w:val="TableContents"/>
              <w:bidi w:val="0"/>
              <w:spacing w:before="0" w:after="283"/>
              <w:jc w:val="left"/>
              <w:rPr/>
            </w:pPr>
            <w:r>
              <w:rPr/>
              <w:t>Name: Brett Scott Thorstad</w:t>
            </w:r>
          </w:p>
        </w:tc>
      </w:tr>
      <w:tr>
        <w:trPr/>
        <w:tc>
          <w:tcPr>
            <w:tcW w:w="4082" w:type="dxa"/>
            <w:gridSpan w:val="3"/>
            <w:tcBorders/>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right"/>
        <w:rPr>
          <w:rFonts w:ascii="Times New Roman" w:hAnsi="Times New Roman"/>
          <w:i/>
          <w:sz w:val="20"/>
        </w:rPr>
      </w:pPr>
      <w:r>
        <w:rPr>
          <w:rFonts w:ascii="Times New Roman" w:hAnsi="Times New Roman"/>
          <w:i/>
          <w:sz w:val="20"/>
        </w:rPr>
        <w:t xml:space="preserve">Fourth Amendment to Receivables Financing Agreement </w:t>
      </w:r>
    </w:p>
    <w:p>
      <w:pPr>
        <w:pStyle w:val="TextBody"/>
        <w:bidi w:val="0"/>
        <w:spacing w:before="12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9"/>
        <w:gridCol w:w="60"/>
        <w:gridCol w:w="3623"/>
      </w:tblGrid>
      <w:tr>
        <w:trPr/>
        <w:tc>
          <w:tcPr>
            <w:tcW w:w="39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PNC BANK, NATIONAL ASSOCIATION,</w:t>
            </w:r>
          </w:p>
          <w:p>
            <w:pPr>
              <w:pStyle w:val="TableContents"/>
              <w:bidi w:val="0"/>
              <w:spacing w:before="0" w:after="20"/>
              <w:jc w:val="left"/>
              <w:rPr>
                <w:rFonts w:ascii="Times New Roman" w:hAnsi="Times New Roman"/>
                <w:sz w:val="20"/>
              </w:rPr>
            </w:pPr>
            <w:r>
              <w:rPr>
                <w:rFonts w:ascii="Times New Roman" w:hAnsi="Times New Roman"/>
                <w:sz w:val="20"/>
              </w:rPr>
              <w:t>as Administrative Agent</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Imad Naja</w:t>
            </w:r>
          </w:p>
        </w:tc>
      </w:tr>
      <w:tr>
        <w:trPr/>
        <w:tc>
          <w:tcPr>
            <w:tcW w:w="4082" w:type="dxa"/>
            <w:gridSpan w:val="3"/>
            <w:tcBorders/>
          </w:tcPr>
          <w:p>
            <w:pPr>
              <w:pStyle w:val="TableContents"/>
              <w:bidi w:val="0"/>
              <w:spacing w:before="0" w:after="283"/>
              <w:jc w:val="left"/>
              <w:rPr/>
            </w:pPr>
            <w:r>
              <w:rPr/>
              <w:t>Name: Imad Naja</w:t>
            </w:r>
          </w:p>
        </w:tc>
      </w:tr>
      <w:tr>
        <w:trPr/>
        <w:tc>
          <w:tcPr>
            <w:tcW w:w="4082" w:type="dxa"/>
            <w:gridSpan w:val="3"/>
            <w:tcBorders/>
          </w:tcPr>
          <w:p>
            <w:pPr>
              <w:pStyle w:val="TableContents"/>
              <w:bidi w:val="0"/>
              <w:spacing w:before="0" w:after="283"/>
              <w:jc w:val="left"/>
              <w:rPr/>
            </w:pPr>
            <w:r>
              <w:rPr/>
              <w:t>Title: Senior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PNC BANK, NATIONAL ASSOCIATION,</w:t>
            </w:r>
          </w:p>
          <w:p>
            <w:pPr>
              <w:pStyle w:val="TableContents"/>
              <w:bidi w:val="0"/>
              <w:spacing w:before="0" w:after="20"/>
              <w:jc w:val="left"/>
              <w:rPr>
                <w:rFonts w:ascii="Times New Roman" w:hAnsi="Times New Roman"/>
                <w:sz w:val="20"/>
              </w:rPr>
            </w:pPr>
            <w:r>
              <w:rPr>
                <w:rFonts w:ascii="Times New Roman" w:hAnsi="Times New Roman"/>
                <w:sz w:val="20"/>
              </w:rPr>
              <w:t>as Class A Lender Representative and a Class A Lender</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Imad Naja</w:t>
            </w:r>
          </w:p>
        </w:tc>
      </w:tr>
      <w:tr>
        <w:trPr/>
        <w:tc>
          <w:tcPr>
            <w:tcW w:w="4082" w:type="dxa"/>
            <w:gridSpan w:val="3"/>
            <w:tcBorders/>
          </w:tcPr>
          <w:p>
            <w:pPr>
              <w:pStyle w:val="TableContents"/>
              <w:bidi w:val="0"/>
              <w:spacing w:before="0" w:after="283"/>
              <w:jc w:val="left"/>
              <w:rPr/>
            </w:pPr>
            <w:r>
              <w:rPr/>
              <w:t>Name: Imad Naja</w:t>
            </w:r>
          </w:p>
        </w:tc>
      </w:tr>
      <w:tr>
        <w:trPr/>
        <w:tc>
          <w:tcPr>
            <w:tcW w:w="4082" w:type="dxa"/>
            <w:gridSpan w:val="3"/>
            <w:tcBorders/>
          </w:tcPr>
          <w:p>
            <w:pPr>
              <w:pStyle w:val="TableContents"/>
              <w:bidi w:val="0"/>
              <w:spacing w:before="0" w:after="283"/>
              <w:jc w:val="left"/>
              <w:rPr/>
            </w:pPr>
            <w:r>
              <w:rPr/>
              <w:t>Title: Senior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PNC CAPITAL MARKETS LLC,</w:t>
            </w:r>
          </w:p>
          <w:p>
            <w:pPr>
              <w:pStyle w:val="TableContents"/>
              <w:bidi w:val="0"/>
              <w:spacing w:before="0" w:after="20"/>
              <w:jc w:val="left"/>
              <w:rPr>
                <w:rFonts w:ascii="Times New Roman" w:hAnsi="Times New Roman"/>
                <w:sz w:val="20"/>
              </w:rPr>
            </w:pPr>
            <w:r>
              <w:rPr>
                <w:rFonts w:ascii="Times New Roman" w:hAnsi="Times New Roman"/>
                <w:sz w:val="20"/>
              </w:rPr>
              <w:t>as Structuring Agent</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Imad Naja</w:t>
            </w:r>
          </w:p>
        </w:tc>
      </w:tr>
      <w:tr>
        <w:trPr/>
        <w:tc>
          <w:tcPr>
            <w:tcW w:w="4082" w:type="dxa"/>
            <w:gridSpan w:val="3"/>
            <w:tcBorders/>
          </w:tcPr>
          <w:p>
            <w:pPr>
              <w:pStyle w:val="TableContents"/>
              <w:bidi w:val="0"/>
              <w:spacing w:before="0" w:after="283"/>
              <w:jc w:val="left"/>
              <w:rPr/>
            </w:pPr>
            <w:r>
              <w:rPr/>
              <w:t>Name: Imad Naja</w:t>
            </w:r>
          </w:p>
        </w:tc>
      </w:tr>
      <w:tr>
        <w:trPr/>
        <w:tc>
          <w:tcPr>
            <w:tcW w:w="4082" w:type="dxa"/>
            <w:gridSpan w:val="3"/>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right"/>
        <w:rPr>
          <w:rFonts w:ascii="Times New Roman" w:hAnsi="Times New Roman"/>
          <w:i/>
          <w:sz w:val="20"/>
        </w:rPr>
      </w:pPr>
      <w:r>
        <w:rPr>
          <w:rFonts w:ascii="Times New Roman" w:hAnsi="Times New Roman"/>
          <w:i/>
          <w:sz w:val="20"/>
        </w:rPr>
        <w:t xml:space="preserve">Fourth Amendment to Receivables Financing Agreement </w:t>
      </w:r>
    </w:p>
    <w:p>
      <w:pPr>
        <w:pStyle w:val="TextBody"/>
        <w:bidi w:val="0"/>
        <w:spacing w:before="12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966"/>
        <w:gridCol w:w="73"/>
        <w:gridCol w:w="3043"/>
      </w:tblGrid>
      <w:tr>
        <w:trPr/>
        <w:tc>
          <w:tcPr>
            <w:tcW w:w="966"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304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CENTERBRIDGE CREDIT CS, L.P.,</w:t>
            </w:r>
          </w:p>
          <w:p>
            <w:pPr>
              <w:pStyle w:val="TableContents"/>
              <w:bidi w:val="0"/>
              <w:spacing w:before="0" w:after="20"/>
              <w:jc w:val="left"/>
              <w:rPr>
                <w:rFonts w:ascii="Times New Roman" w:hAnsi="Times New Roman"/>
                <w:sz w:val="20"/>
              </w:rPr>
            </w:pPr>
            <w:r>
              <w:rPr>
                <w:rFonts w:ascii="Times New Roman" w:hAnsi="Times New Roman"/>
                <w:sz w:val="20"/>
              </w:rPr>
              <w:t>as Class B Lender Representative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Credit and SCIII General Partner, L.L.C.,</w:t>
            </w:r>
          </w:p>
          <w:p>
            <w:pPr>
              <w:pStyle w:val="TableContents"/>
              <w:bidi w:val="0"/>
              <w:spacing w:before="0" w:after="20"/>
              <w:jc w:val="left"/>
              <w:rPr>
                <w:rFonts w:ascii="Times New Roman" w:hAnsi="Times New Roman"/>
                <w:sz w:val="20"/>
              </w:rPr>
            </w:pPr>
            <w:r>
              <w:rPr>
                <w:rFonts w:ascii="Times New Roman" w:hAnsi="Times New Roman"/>
                <w:sz w:val="20"/>
              </w:rPr>
              <w:t>its general partner</w:t>
            </w:r>
          </w:p>
        </w:tc>
      </w:tr>
      <w:tr>
        <w:trPr>
          <w:trHeight w:val="240" w:hRule="atLeast"/>
        </w:trPr>
        <w:tc>
          <w:tcPr>
            <w:tcW w:w="966" w:type="dxa"/>
            <w:tcBorders/>
            <w:vAlign w:val="center"/>
          </w:tcPr>
          <w:p>
            <w:pPr>
              <w:pStyle w:val="TableContents"/>
              <w:bidi w:val="0"/>
              <w:spacing w:before="0" w:after="283"/>
              <w:jc w:val="left"/>
              <w:rPr>
                <w:sz w:val="4"/>
                <w:szCs w:val="4"/>
              </w:rPr>
            </w:pPr>
            <w:r>
              <w:rPr>
                <w:sz w:val="4"/>
                <w:szCs w:val="4"/>
              </w:rPr>
            </w:r>
          </w:p>
        </w:tc>
        <w:tc>
          <w:tcPr>
            <w:tcW w:w="3116" w:type="dxa"/>
            <w:gridSpan w:val="2"/>
            <w:tcBorders/>
            <w:vAlign w:val="center"/>
          </w:tcPr>
          <w:p>
            <w:pPr>
              <w:pStyle w:val="TableContents"/>
              <w:bidi w:val="0"/>
              <w:spacing w:before="0" w:after="283"/>
              <w:jc w:val="left"/>
              <w:rPr>
                <w:sz w:val="4"/>
                <w:szCs w:val="4"/>
              </w:rPr>
            </w:pPr>
            <w:r>
              <w:rPr>
                <w:sz w:val="4"/>
                <w:szCs w:val="4"/>
              </w:rPr>
            </w:r>
          </w:p>
        </w:tc>
      </w:tr>
      <w:tr>
        <w:trPr/>
        <w:tc>
          <w:tcPr>
            <w:tcW w:w="966" w:type="dxa"/>
            <w:tcBorders/>
          </w:tcPr>
          <w:p>
            <w:pPr>
              <w:pStyle w:val="TableContents"/>
              <w:bidi w:val="0"/>
              <w:spacing w:before="0" w:after="283"/>
              <w:jc w:val="left"/>
              <w:rPr/>
            </w:pPr>
            <w:r>
              <w:rPr/>
              <w:t>By:</w:t>
            </w:r>
          </w:p>
        </w:tc>
        <w:tc>
          <w:tcPr>
            <w:tcW w:w="73" w:type="dxa"/>
            <w:tcBorders/>
            <w:vAlign w:val="bottom"/>
          </w:tcPr>
          <w:p>
            <w:pPr>
              <w:pStyle w:val="TableContents"/>
              <w:bidi w:val="0"/>
              <w:spacing w:before="0" w:after="283"/>
              <w:jc w:val="left"/>
              <w:rPr/>
            </w:pPr>
            <w:r>
              <w:rPr/>
              <w:t> </w:t>
            </w:r>
          </w:p>
        </w:tc>
        <w:tc>
          <w:tcPr>
            <w:tcW w:w="304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Gavin Baiera</w:t>
            </w:r>
          </w:p>
        </w:tc>
      </w:tr>
      <w:tr>
        <w:trPr/>
        <w:tc>
          <w:tcPr>
            <w:tcW w:w="4082" w:type="dxa"/>
            <w:gridSpan w:val="3"/>
            <w:tcBorders/>
          </w:tcPr>
          <w:p>
            <w:pPr>
              <w:pStyle w:val="TableContents"/>
              <w:bidi w:val="0"/>
              <w:spacing w:before="0" w:after="283"/>
              <w:jc w:val="left"/>
              <w:rPr/>
            </w:pPr>
            <w:r>
              <w:rPr/>
              <w:t>Name: Gavin Baiera</w:t>
            </w:r>
          </w:p>
        </w:tc>
      </w:tr>
      <w:tr>
        <w:trPr/>
        <w:tc>
          <w:tcPr>
            <w:tcW w:w="4082" w:type="dxa"/>
            <w:gridSpan w:val="3"/>
            <w:tcBorders/>
          </w:tcPr>
          <w:p>
            <w:pPr>
              <w:pStyle w:val="TableContents"/>
              <w:bidi w:val="0"/>
              <w:spacing w:before="0" w:after="283"/>
              <w:jc w:val="left"/>
              <w:rPr/>
            </w:pPr>
            <w:r>
              <w:rPr/>
              <w:t>Title: 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CENTERBRIDGE CREDIT CS, L.P.,</w:t>
            </w:r>
          </w:p>
          <w:p>
            <w:pPr>
              <w:pStyle w:val="TableContents"/>
              <w:bidi w:val="0"/>
              <w:spacing w:before="0" w:after="20"/>
              <w:jc w:val="left"/>
              <w:rPr>
                <w:rFonts w:ascii="Times New Roman" w:hAnsi="Times New Roman"/>
                <w:sz w:val="20"/>
              </w:rPr>
            </w:pPr>
            <w:r>
              <w:rPr>
                <w:rFonts w:ascii="Times New Roman" w:hAnsi="Times New Roman"/>
                <w:sz w:val="20"/>
              </w:rPr>
              <w:t>as a Class B Lender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Credit and SCIII General Partner, L.L.C.,</w:t>
            </w:r>
          </w:p>
          <w:p>
            <w:pPr>
              <w:pStyle w:val="TableContents"/>
              <w:bidi w:val="0"/>
              <w:spacing w:before="0" w:after="20"/>
              <w:jc w:val="left"/>
              <w:rPr>
                <w:rFonts w:ascii="Times New Roman" w:hAnsi="Times New Roman"/>
                <w:sz w:val="20"/>
              </w:rPr>
            </w:pPr>
            <w:r>
              <w:rPr>
                <w:rFonts w:ascii="Times New Roman" w:hAnsi="Times New Roman"/>
                <w:sz w:val="20"/>
              </w:rPr>
              <w:t>its general partner</w:t>
            </w:r>
          </w:p>
        </w:tc>
      </w:tr>
      <w:tr>
        <w:trPr>
          <w:trHeight w:val="240" w:hRule="atLeast"/>
        </w:trPr>
        <w:tc>
          <w:tcPr>
            <w:tcW w:w="966" w:type="dxa"/>
            <w:tcBorders/>
            <w:vAlign w:val="center"/>
          </w:tcPr>
          <w:p>
            <w:pPr>
              <w:pStyle w:val="TableContents"/>
              <w:bidi w:val="0"/>
              <w:spacing w:before="0" w:after="283"/>
              <w:jc w:val="left"/>
              <w:rPr>
                <w:sz w:val="4"/>
                <w:szCs w:val="4"/>
              </w:rPr>
            </w:pPr>
            <w:r>
              <w:rPr>
                <w:sz w:val="4"/>
                <w:szCs w:val="4"/>
              </w:rPr>
            </w:r>
          </w:p>
        </w:tc>
        <w:tc>
          <w:tcPr>
            <w:tcW w:w="3116" w:type="dxa"/>
            <w:gridSpan w:val="2"/>
            <w:tcBorders/>
            <w:vAlign w:val="center"/>
          </w:tcPr>
          <w:p>
            <w:pPr>
              <w:pStyle w:val="TableContents"/>
              <w:bidi w:val="0"/>
              <w:spacing w:before="0" w:after="283"/>
              <w:jc w:val="left"/>
              <w:rPr>
                <w:sz w:val="4"/>
                <w:szCs w:val="4"/>
              </w:rPr>
            </w:pPr>
            <w:r>
              <w:rPr>
                <w:sz w:val="4"/>
                <w:szCs w:val="4"/>
              </w:rPr>
            </w:r>
          </w:p>
        </w:tc>
      </w:tr>
      <w:tr>
        <w:trPr/>
        <w:tc>
          <w:tcPr>
            <w:tcW w:w="966" w:type="dxa"/>
            <w:tcBorders/>
          </w:tcPr>
          <w:p>
            <w:pPr>
              <w:pStyle w:val="TableContents"/>
              <w:bidi w:val="0"/>
              <w:spacing w:before="0" w:after="283"/>
              <w:jc w:val="left"/>
              <w:rPr/>
            </w:pPr>
            <w:r>
              <w:rPr/>
              <w:t>By:</w:t>
            </w:r>
          </w:p>
        </w:tc>
        <w:tc>
          <w:tcPr>
            <w:tcW w:w="73" w:type="dxa"/>
            <w:tcBorders/>
            <w:vAlign w:val="bottom"/>
          </w:tcPr>
          <w:p>
            <w:pPr>
              <w:pStyle w:val="TableContents"/>
              <w:bidi w:val="0"/>
              <w:spacing w:before="0" w:after="283"/>
              <w:jc w:val="left"/>
              <w:rPr/>
            </w:pPr>
            <w:r>
              <w:rPr/>
              <w:t> </w:t>
            </w:r>
          </w:p>
        </w:tc>
        <w:tc>
          <w:tcPr>
            <w:tcW w:w="304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Gavin Baiera</w:t>
            </w:r>
          </w:p>
        </w:tc>
      </w:tr>
      <w:tr>
        <w:trPr/>
        <w:tc>
          <w:tcPr>
            <w:tcW w:w="4082" w:type="dxa"/>
            <w:gridSpan w:val="3"/>
            <w:tcBorders/>
          </w:tcPr>
          <w:p>
            <w:pPr>
              <w:pStyle w:val="TableContents"/>
              <w:bidi w:val="0"/>
              <w:spacing w:before="0" w:after="283"/>
              <w:jc w:val="left"/>
              <w:rPr/>
            </w:pPr>
            <w:r>
              <w:rPr/>
              <w:t>Name: Gavin Baiera</w:t>
            </w:r>
          </w:p>
        </w:tc>
      </w:tr>
      <w:tr>
        <w:trPr/>
        <w:tc>
          <w:tcPr>
            <w:tcW w:w="4082" w:type="dxa"/>
            <w:gridSpan w:val="3"/>
            <w:tcBorders/>
          </w:tcPr>
          <w:p>
            <w:pPr>
              <w:pStyle w:val="TableContents"/>
              <w:bidi w:val="0"/>
              <w:spacing w:before="0" w:after="283"/>
              <w:jc w:val="left"/>
              <w:rPr/>
            </w:pPr>
            <w:r>
              <w:rPr/>
              <w:t>Title: 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CB NC CO-INVEST, L.P., as a Class B Lender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CB NC Co-Invest GP, L.P., its general partner</w:t>
            </w:r>
          </w:p>
        </w:tc>
      </w:tr>
      <w:tr>
        <w:trPr/>
        <w:tc>
          <w:tcPr>
            <w:tcW w:w="4082" w:type="dxa"/>
            <w:gridSpan w:val="3"/>
            <w:tcBorders/>
          </w:tcPr>
          <w:p>
            <w:pPr>
              <w:pStyle w:val="TableContents"/>
              <w:bidi w:val="0"/>
              <w:spacing w:before="0" w:after="283"/>
              <w:jc w:val="left"/>
              <w:rPr/>
            </w:pPr>
            <w:r>
              <w:rPr/>
              <w:t>By: CSCP IV Cayman GP, Ltd., its general partner</w:t>
            </w:r>
          </w:p>
        </w:tc>
      </w:tr>
      <w:tr>
        <w:trPr>
          <w:trHeight w:val="240" w:hRule="atLeast"/>
        </w:trPr>
        <w:tc>
          <w:tcPr>
            <w:tcW w:w="966" w:type="dxa"/>
            <w:tcBorders/>
            <w:vAlign w:val="center"/>
          </w:tcPr>
          <w:p>
            <w:pPr>
              <w:pStyle w:val="TableContents"/>
              <w:bidi w:val="0"/>
              <w:spacing w:before="0" w:after="283"/>
              <w:jc w:val="left"/>
              <w:rPr>
                <w:sz w:val="4"/>
                <w:szCs w:val="4"/>
              </w:rPr>
            </w:pPr>
            <w:r>
              <w:rPr>
                <w:sz w:val="4"/>
                <w:szCs w:val="4"/>
              </w:rPr>
            </w:r>
          </w:p>
        </w:tc>
        <w:tc>
          <w:tcPr>
            <w:tcW w:w="3116" w:type="dxa"/>
            <w:gridSpan w:val="2"/>
            <w:tcBorders/>
            <w:vAlign w:val="center"/>
          </w:tcPr>
          <w:p>
            <w:pPr>
              <w:pStyle w:val="TableContents"/>
              <w:bidi w:val="0"/>
              <w:spacing w:before="0" w:after="283"/>
              <w:jc w:val="left"/>
              <w:rPr>
                <w:sz w:val="4"/>
                <w:szCs w:val="4"/>
              </w:rPr>
            </w:pPr>
            <w:r>
              <w:rPr>
                <w:sz w:val="4"/>
                <w:szCs w:val="4"/>
              </w:rPr>
            </w:r>
          </w:p>
        </w:tc>
      </w:tr>
      <w:tr>
        <w:trPr/>
        <w:tc>
          <w:tcPr>
            <w:tcW w:w="966" w:type="dxa"/>
            <w:tcBorders/>
          </w:tcPr>
          <w:p>
            <w:pPr>
              <w:pStyle w:val="TableContents"/>
              <w:bidi w:val="0"/>
              <w:spacing w:before="0" w:after="283"/>
              <w:jc w:val="left"/>
              <w:rPr/>
            </w:pPr>
            <w:r>
              <w:rPr/>
              <w:t>By:</w:t>
            </w:r>
          </w:p>
        </w:tc>
        <w:tc>
          <w:tcPr>
            <w:tcW w:w="73" w:type="dxa"/>
            <w:tcBorders/>
            <w:vAlign w:val="bottom"/>
          </w:tcPr>
          <w:p>
            <w:pPr>
              <w:pStyle w:val="TableContents"/>
              <w:bidi w:val="0"/>
              <w:spacing w:before="0" w:after="283"/>
              <w:jc w:val="left"/>
              <w:rPr/>
            </w:pPr>
            <w:r>
              <w:rPr/>
              <w:t> </w:t>
            </w:r>
          </w:p>
        </w:tc>
        <w:tc>
          <w:tcPr>
            <w:tcW w:w="304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Gavin Baiera</w:t>
            </w:r>
          </w:p>
        </w:tc>
      </w:tr>
      <w:tr>
        <w:trPr/>
        <w:tc>
          <w:tcPr>
            <w:tcW w:w="4082" w:type="dxa"/>
            <w:gridSpan w:val="3"/>
            <w:tcBorders/>
          </w:tcPr>
          <w:p>
            <w:pPr>
              <w:pStyle w:val="TableContents"/>
              <w:bidi w:val="0"/>
              <w:spacing w:before="0" w:after="283"/>
              <w:jc w:val="left"/>
              <w:rPr/>
            </w:pPr>
            <w:r>
              <w:rPr/>
              <w:t>Name: Gavin Baiera</w:t>
            </w:r>
          </w:p>
        </w:tc>
      </w:tr>
      <w:tr>
        <w:trPr/>
        <w:tc>
          <w:tcPr>
            <w:tcW w:w="4082" w:type="dxa"/>
            <w:gridSpan w:val="3"/>
            <w:tcBorders/>
          </w:tcPr>
          <w:p>
            <w:pPr>
              <w:pStyle w:val="TableContents"/>
              <w:bidi w:val="0"/>
              <w:spacing w:before="0" w:after="283"/>
              <w:jc w:val="left"/>
              <w:rPr/>
            </w:pPr>
            <w:r>
              <w:rPr/>
              <w:t>Title: 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MASSACHUSETTS MUTUAL LIFE INSURANCE COMPANY, as a Class B Lender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Centerbridge Martello Advisors, LLC, a Delaware limited liability company, its investment manager</w:t>
            </w:r>
          </w:p>
        </w:tc>
      </w:tr>
      <w:tr>
        <w:trPr>
          <w:trHeight w:val="240" w:hRule="atLeast"/>
        </w:trPr>
        <w:tc>
          <w:tcPr>
            <w:tcW w:w="966" w:type="dxa"/>
            <w:tcBorders/>
            <w:vAlign w:val="center"/>
          </w:tcPr>
          <w:p>
            <w:pPr>
              <w:pStyle w:val="TableContents"/>
              <w:bidi w:val="0"/>
              <w:spacing w:before="0" w:after="283"/>
              <w:jc w:val="left"/>
              <w:rPr>
                <w:sz w:val="4"/>
                <w:szCs w:val="4"/>
              </w:rPr>
            </w:pPr>
            <w:r>
              <w:rPr>
                <w:sz w:val="4"/>
                <w:szCs w:val="4"/>
              </w:rPr>
            </w:r>
          </w:p>
        </w:tc>
        <w:tc>
          <w:tcPr>
            <w:tcW w:w="3116" w:type="dxa"/>
            <w:gridSpan w:val="2"/>
            <w:tcBorders/>
            <w:vAlign w:val="center"/>
          </w:tcPr>
          <w:p>
            <w:pPr>
              <w:pStyle w:val="TableContents"/>
              <w:bidi w:val="0"/>
              <w:spacing w:before="0" w:after="283"/>
              <w:jc w:val="left"/>
              <w:rPr>
                <w:sz w:val="4"/>
                <w:szCs w:val="4"/>
              </w:rPr>
            </w:pPr>
            <w:r>
              <w:rPr>
                <w:sz w:val="4"/>
                <w:szCs w:val="4"/>
              </w:rPr>
            </w:r>
          </w:p>
        </w:tc>
      </w:tr>
      <w:tr>
        <w:trPr/>
        <w:tc>
          <w:tcPr>
            <w:tcW w:w="966" w:type="dxa"/>
            <w:tcBorders/>
          </w:tcPr>
          <w:p>
            <w:pPr>
              <w:pStyle w:val="TableContents"/>
              <w:bidi w:val="0"/>
              <w:spacing w:before="0" w:after="283"/>
              <w:jc w:val="left"/>
              <w:rPr/>
            </w:pPr>
            <w:r>
              <w:rPr/>
              <w:t>By:</w:t>
            </w:r>
          </w:p>
        </w:tc>
        <w:tc>
          <w:tcPr>
            <w:tcW w:w="73" w:type="dxa"/>
            <w:tcBorders/>
            <w:vAlign w:val="bottom"/>
          </w:tcPr>
          <w:p>
            <w:pPr>
              <w:pStyle w:val="TableContents"/>
              <w:bidi w:val="0"/>
              <w:spacing w:before="0" w:after="283"/>
              <w:jc w:val="left"/>
              <w:rPr/>
            </w:pPr>
            <w:r>
              <w:rPr/>
              <w:t> </w:t>
            </w:r>
          </w:p>
        </w:tc>
        <w:tc>
          <w:tcPr>
            <w:tcW w:w="304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Gavin Baiera</w:t>
            </w:r>
          </w:p>
        </w:tc>
      </w:tr>
      <w:tr>
        <w:trPr/>
        <w:tc>
          <w:tcPr>
            <w:tcW w:w="4082" w:type="dxa"/>
            <w:gridSpan w:val="3"/>
            <w:tcBorders/>
          </w:tcPr>
          <w:p>
            <w:pPr>
              <w:pStyle w:val="TableContents"/>
              <w:bidi w:val="0"/>
              <w:spacing w:before="0" w:after="283"/>
              <w:jc w:val="left"/>
              <w:rPr/>
            </w:pPr>
            <w:r>
              <w:rPr/>
              <w:t>Name: Gavin Baiera</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0" w:after="0"/>
        <w:jc w:val="left"/>
        <w:rPr/>
      </w:pPr>
      <w:r>
        <w:rPr/>
        <w:t> </w:t>
      </w:r>
    </w:p>
    <w:p>
      <w:pPr>
        <w:pStyle w:val="TextBody"/>
        <w:bidi w:val="0"/>
        <w:spacing w:before="0" w:after="0"/>
        <w:jc w:val="right"/>
        <w:rPr>
          <w:rFonts w:ascii="Times New Roman" w:hAnsi="Times New Roman"/>
          <w:i/>
          <w:sz w:val="20"/>
        </w:rPr>
      </w:pPr>
      <w:r>
        <w:rPr>
          <w:rFonts w:ascii="Times New Roman" w:hAnsi="Times New Roman"/>
          <w:i/>
          <w:sz w:val="20"/>
        </w:rPr>
        <w:t xml:space="preserve">Fourth Amendment to Receivables Financing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84"/>
        <w:gridCol w:w="124"/>
        <w:gridCol w:w="3274"/>
      </w:tblGrid>
      <w:tr>
        <w:trPr/>
        <w:tc>
          <w:tcPr>
            <w:tcW w:w="684"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7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CENTERBRIDGE SPECIAL CREDIT PARTNERS IV – I CO-INVEST, L.P., as a Class B Lender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Centerbridge Special Credit Partners General Partner IV, L.P., its general partner</w:t>
            </w:r>
          </w:p>
        </w:tc>
      </w:tr>
      <w:tr>
        <w:trPr/>
        <w:tc>
          <w:tcPr>
            <w:tcW w:w="4082" w:type="dxa"/>
            <w:gridSpan w:val="3"/>
            <w:tcBorders/>
          </w:tcPr>
          <w:p>
            <w:pPr>
              <w:pStyle w:val="TableContents"/>
              <w:bidi w:val="0"/>
              <w:spacing w:before="0" w:after="283"/>
              <w:jc w:val="left"/>
              <w:rPr/>
            </w:pPr>
            <w:r>
              <w:rPr/>
              <w:t>By: CSCP IV Cayman GP, Ltd.</w:t>
            </w:r>
          </w:p>
        </w:tc>
      </w:tr>
      <w:tr>
        <w:trPr>
          <w:trHeight w:val="240" w:hRule="atLeast"/>
        </w:trPr>
        <w:tc>
          <w:tcPr>
            <w:tcW w:w="684" w:type="dxa"/>
            <w:tcBorders/>
            <w:vAlign w:val="center"/>
          </w:tcPr>
          <w:p>
            <w:pPr>
              <w:pStyle w:val="TableContents"/>
              <w:bidi w:val="0"/>
              <w:spacing w:before="0" w:after="283"/>
              <w:jc w:val="left"/>
              <w:rPr>
                <w:sz w:val="4"/>
                <w:szCs w:val="4"/>
              </w:rPr>
            </w:pPr>
            <w:r>
              <w:rPr>
                <w:sz w:val="4"/>
                <w:szCs w:val="4"/>
              </w:rPr>
            </w:r>
          </w:p>
        </w:tc>
        <w:tc>
          <w:tcPr>
            <w:tcW w:w="3398"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By:</w:t>
            </w:r>
          </w:p>
        </w:tc>
        <w:tc>
          <w:tcPr>
            <w:tcW w:w="124" w:type="dxa"/>
            <w:tcBorders/>
            <w:vAlign w:val="bottom"/>
          </w:tcPr>
          <w:p>
            <w:pPr>
              <w:pStyle w:val="TableContents"/>
              <w:bidi w:val="0"/>
              <w:spacing w:before="0" w:after="283"/>
              <w:jc w:val="left"/>
              <w:rPr/>
            </w:pPr>
            <w:r>
              <w:rPr/>
              <w:t> </w:t>
            </w:r>
          </w:p>
        </w:tc>
        <w:tc>
          <w:tcPr>
            <w:tcW w:w="327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Gavin Baiera</w:t>
            </w:r>
          </w:p>
        </w:tc>
      </w:tr>
      <w:tr>
        <w:trPr/>
        <w:tc>
          <w:tcPr>
            <w:tcW w:w="4082" w:type="dxa"/>
            <w:gridSpan w:val="3"/>
            <w:tcBorders/>
          </w:tcPr>
          <w:p>
            <w:pPr>
              <w:pStyle w:val="TableContents"/>
              <w:bidi w:val="0"/>
              <w:spacing w:before="0" w:after="283"/>
              <w:jc w:val="left"/>
              <w:rPr/>
            </w:pPr>
            <w:r>
              <w:rPr/>
              <w:t>Name: Gavin Baiera</w:t>
            </w:r>
          </w:p>
        </w:tc>
      </w:tr>
      <w:tr>
        <w:trPr/>
        <w:tc>
          <w:tcPr>
            <w:tcW w:w="4082" w:type="dxa"/>
            <w:gridSpan w:val="3"/>
            <w:tcBorders/>
          </w:tcPr>
          <w:p>
            <w:pPr>
              <w:pStyle w:val="TableContents"/>
              <w:bidi w:val="0"/>
              <w:spacing w:before="0" w:after="283"/>
              <w:jc w:val="left"/>
              <w:rPr/>
            </w:pPr>
            <w:r>
              <w:rPr/>
              <w:t>Title: 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CB SA FUND, L.P., as a Class B Lender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Centerbridge Special Credit Partners General Partner IV, L.P., its general partner</w:t>
            </w:r>
          </w:p>
        </w:tc>
      </w:tr>
      <w:tr>
        <w:trPr/>
        <w:tc>
          <w:tcPr>
            <w:tcW w:w="4082" w:type="dxa"/>
            <w:gridSpan w:val="3"/>
            <w:tcBorders/>
          </w:tcPr>
          <w:p>
            <w:pPr>
              <w:pStyle w:val="TableContents"/>
              <w:bidi w:val="0"/>
              <w:spacing w:before="0" w:after="283"/>
              <w:jc w:val="left"/>
              <w:rPr/>
            </w:pPr>
            <w:r>
              <w:rPr/>
              <w:t>By: CSCP IV Cayman GP, Ltd., its general partner</w:t>
            </w:r>
          </w:p>
        </w:tc>
      </w:tr>
      <w:tr>
        <w:trPr>
          <w:trHeight w:val="240" w:hRule="atLeast"/>
        </w:trPr>
        <w:tc>
          <w:tcPr>
            <w:tcW w:w="684" w:type="dxa"/>
            <w:tcBorders/>
            <w:vAlign w:val="center"/>
          </w:tcPr>
          <w:p>
            <w:pPr>
              <w:pStyle w:val="TableContents"/>
              <w:bidi w:val="0"/>
              <w:spacing w:before="0" w:after="283"/>
              <w:jc w:val="left"/>
              <w:rPr>
                <w:sz w:val="4"/>
                <w:szCs w:val="4"/>
              </w:rPr>
            </w:pPr>
            <w:r>
              <w:rPr>
                <w:sz w:val="4"/>
                <w:szCs w:val="4"/>
              </w:rPr>
            </w:r>
          </w:p>
        </w:tc>
        <w:tc>
          <w:tcPr>
            <w:tcW w:w="3398"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By:</w:t>
            </w:r>
          </w:p>
        </w:tc>
        <w:tc>
          <w:tcPr>
            <w:tcW w:w="124" w:type="dxa"/>
            <w:tcBorders/>
            <w:vAlign w:val="bottom"/>
          </w:tcPr>
          <w:p>
            <w:pPr>
              <w:pStyle w:val="TableContents"/>
              <w:bidi w:val="0"/>
              <w:spacing w:before="0" w:after="283"/>
              <w:jc w:val="left"/>
              <w:rPr/>
            </w:pPr>
            <w:r>
              <w:rPr/>
              <w:t> </w:t>
            </w:r>
          </w:p>
        </w:tc>
        <w:tc>
          <w:tcPr>
            <w:tcW w:w="327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Gavin Baiera</w:t>
            </w:r>
          </w:p>
        </w:tc>
      </w:tr>
      <w:tr>
        <w:trPr/>
        <w:tc>
          <w:tcPr>
            <w:tcW w:w="4082" w:type="dxa"/>
            <w:gridSpan w:val="3"/>
            <w:tcBorders/>
          </w:tcPr>
          <w:p>
            <w:pPr>
              <w:pStyle w:val="TableContents"/>
              <w:bidi w:val="0"/>
              <w:spacing w:before="0" w:after="283"/>
              <w:jc w:val="left"/>
              <w:rPr/>
            </w:pPr>
            <w:r>
              <w:rPr/>
              <w:t>Name: Gavin Baiera</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0" w:after="0"/>
        <w:jc w:val="left"/>
        <w:rPr/>
      </w:pPr>
      <w:r>
        <w:rPr/>
        <w:t> </w:t>
      </w:r>
    </w:p>
    <w:p>
      <w:pPr>
        <w:pStyle w:val="TextBody"/>
        <w:bidi w:val="0"/>
        <w:spacing w:before="0" w:after="0"/>
        <w:jc w:val="right"/>
        <w:rPr>
          <w:rFonts w:ascii="Times New Roman" w:hAnsi="Times New Roman"/>
          <w:i/>
          <w:sz w:val="20"/>
        </w:rPr>
      </w:pPr>
      <w:r>
        <w:rPr>
          <w:rFonts w:ascii="Times New Roman" w:hAnsi="Times New Roman"/>
          <w:i/>
          <w:sz w:val="20"/>
        </w:rPr>
        <w:t xml:space="preserve">Fourth Amendment to Receivables Financing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1142"/>
        <w:gridCol w:w="75"/>
        <w:gridCol w:w="2865"/>
      </w:tblGrid>
      <w:tr>
        <w:trPr/>
        <w:tc>
          <w:tcPr>
            <w:tcW w:w="1142"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LAKE CENTRAL FUND, LP, as a Class B Lender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Centerbridge LC Advisors, LLC, a Delaware limited liability company, its Trading Advisor</w:t>
            </w:r>
          </w:p>
        </w:tc>
      </w:tr>
      <w:tr>
        <w:trPr>
          <w:trHeight w:val="240" w:hRule="atLeast"/>
        </w:trPr>
        <w:tc>
          <w:tcPr>
            <w:tcW w:w="1142" w:type="dxa"/>
            <w:tcBorders/>
            <w:vAlign w:val="center"/>
          </w:tcPr>
          <w:p>
            <w:pPr>
              <w:pStyle w:val="TableContents"/>
              <w:bidi w:val="0"/>
              <w:spacing w:before="0" w:after="283"/>
              <w:jc w:val="left"/>
              <w:rPr>
                <w:sz w:val="4"/>
                <w:szCs w:val="4"/>
              </w:rPr>
            </w:pPr>
            <w:r>
              <w:rPr>
                <w:sz w:val="4"/>
                <w:szCs w:val="4"/>
              </w:rPr>
            </w:r>
          </w:p>
        </w:tc>
        <w:tc>
          <w:tcPr>
            <w:tcW w:w="2940"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left"/>
              <w:rPr/>
            </w:pPr>
            <w:r>
              <w:rPr/>
              <w:t>By:</w:t>
            </w:r>
          </w:p>
        </w:tc>
        <w:tc>
          <w:tcPr>
            <w:tcW w:w="75" w:type="dxa"/>
            <w:tcBorders/>
            <w:vAlign w:val="bottom"/>
          </w:tcPr>
          <w:p>
            <w:pPr>
              <w:pStyle w:val="TableContents"/>
              <w:bidi w:val="0"/>
              <w:spacing w:before="0" w:after="283"/>
              <w:jc w:val="left"/>
              <w:rPr/>
            </w:pPr>
            <w:r>
              <w:rPr/>
              <w:t> </w:t>
            </w:r>
          </w:p>
        </w:tc>
        <w:tc>
          <w:tcPr>
            <w:tcW w:w="286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Gavin Baiera</w:t>
            </w:r>
          </w:p>
        </w:tc>
      </w:tr>
      <w:tr>
        <w:trPr/>
        <w:tc>
          <w:tcPr>
            <w:tcW w:w="4082" w:type="dxa"/>
            <w:gridSpan w:val="3"/>
            <w:tcBorders/>
          </w:tcPr>
          <w:p>
            <w:pPr>
              <w:pStyle w:val="TableContents"/>
              <w:bidi w:val="0"/>
              <w:spacing w:before="0" w:after="283"/>
              <w:jc w:val="left"/>
              <w:rPr/>
            </w:pPr>
            <w:r>
              <w:rPr/>
              <w:t>Name: Gavin Baiera</w:t>
            </w:r>
          </w:p>
        </w:tc>
      </w:tr>
      <w:tr>
        <w:trPr/>
        <w:tc>
          <w:tcPr>
            <w:tcW w:w="4082" w:type="dxa"/>
            <w:gridSpan w:val="3"/>
            <w:tcBorders/>
          </w:tcPr>
          <w:p>
            <w:pPr>
              <w:pStyle w:val="TableContents"/>
              <w:bidi w:val="0"/>
              <w:spacing w:before="0" w:after="283"/>
              <w:jc w:val="left"/>
              <w:rPr/>
            </w:pPr>
            <w:r>
              <w:rPr/>
              <w:t>Title: 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METROPOLITAN LIFE INSURANCE COMPANY, as a Class B Lender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Centerbridge Martello Advisors, LLC, a Delaware limited liability company, its Investment Manager</w:t>
            </w:r>
          </w:p>
        </w:tc>
      </w:tr>
      <w:tr>
        <w:trPr>
          <w:trHeight w:val="240" w:hRule="atLeast"/>
        </w:trPr>
        <w:tc>
          <w:tcPr>
            <w:tcW w:w="1142" w:type="dxa"/>
            <w:tcBorders/>
            <w:vAlign w:val="center"/>
          </w:tcPr>
          <w:p>
            <w:pPr>
              <w:pStyle w:val="TableContents"/>
              <w:bidi w:val="0"/>
              <w:spacing w:before="0" w:after="283"/>
              <w:jc w:val="left"/>
              <w:rPr>
                <w:sz w:val="4"/>
                <w:szCs w:val="4"/>
              </w:rPr>
            </w:pPr>
            <w:r>
              <w:rPr>
                <w:sz w:val="4"/>
                <w:szCs w:val="4"/>
              </w:rPr>
            </w:r>
          </w:p>
        </w:tc>
        <w:tc>
          <w:tcPr>
            <w:tcW w:w="2940"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left"/>
              <w:rPr/>
            </w:pPr>
            <w:r>
              <w:rPr/>
              <w:t>By:</w:t>
            </w:r>
          </w:p>
        </w:tc>
        <w:tc>
          <w:tcPr>
            <w:tcW w:w="75" w:type="dxa"/>
            <w:tcBorders/>
            <w:vAlign w:val="bottom"/>
          </w:tcPr>
          <w:p>
            <w:pPr>
              <w:pStyle w:val="TableContents"/>
              <w:bidi w:val="0"/>
              <w:spacing w:before="0" w:after="283"/>
              <w:jc w:val="left"/>
              <w:rPr/>
            </w:pPr>
            <w:r>
              <w:rPr/>
              <w:t> </w:t>
            </w:r>
          </w:p>
        </w:tc>
        <w:tc>
          <w:tcPr>
            <w:tcW w:w="286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Gavin Baiera</w:t>
            </w:r>
          </w:p>
        </w:tc>
      </w:tr>
      <w:tr>
        <w:trPr/>
        <w:tc>
          <w:tcPr>
            <w:tcW w:w="4082" w:type="dxa"/>
            <w:gridSpan w:val="3"/>
            <w:tcBorders/>
          </w:tcPr>
          <w:p>
            <w:pPr>
              <w:pStyle w:val="TableContents"/>
              <w:bidi w:val="0"/>
              <w:spacing w:before="0" w:after="283"/>
              <w:jc w:val="left"/>
              <w:rPr/>
            </w:pPr>
            <w:r>
              <w:rPr/>
              <w:t>Name: Gavin Baiera</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0" w:after="0"/>
        <w:jc w:val="left"/>
        <w:rPr/>
      </w:pPr>
      <w:r>
        <w:rPr/>
        <w:t> </w:t>
      </w:r>
    </w:p>
    <w:p>
      <w:pPr>
        <w:pStyle w:val="TextBody"/>
        <w:bidi w:val="0"/>
        <w:spacing w:before="0" w:after="0"/>
        <w:jc w:val="right"/>
        <w:rPr>
          <w:rFonts w:ascii="Times New Roman" w:hAnsi="Times New Roman"/>
          <w:i/>
          <w:sz w:val="20"/>
        </w:rPr>
      </w:pPr>
      <w:r>
        <w:rPr>
          <w:rFonts w:ascii="Times New Roman" w:hAnsi="Times New Roman"/>
          <w:i/>
          <w:sz w:val="20"/>
        </w:rPr>
        <w:t xml:space="preserve">Fourth Amendment to Receivables Financing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BANK OF AMERICA N.A., as a Class B Lender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Alexander Watts</w:t>
            </w:r>
          </w:p>
        </w:tc>
      </w:tr>
      <w:tr>
        <w:trPr/>
        <w:tc>
          <w:tcPr>
            <w:tcW w:w="4082" w:type="dxa"/>
            <w:gridSpan w:val="3"/>
            <w:tcBorders/>
          </w:tcPr>
          <w:p>
            <w:pPr>
              <w:pStyle w:val="TableContents"/>
              <w:bidi w:val="0"/>
              <w:spacing w:before="0" w:after="283"/>
              <w:jc w:val="left"/>
              <w:rPr/>
            </w:pPr>
            <w:r>
              <w:rPr/>
              <w:t>Name: Alexander Watts</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0" w:after="0"/>
        <w:jc w:val="left"/>
        <w:rPr/>
      </w:pPr>
      <w:r>
        <w:rPr/>
        <w:t> </w:t>
      </w:r>
    </w:p>
    <w:p>
      <w:pPr>
        <w:pStyle w:val="TextBody"/>
        <w:bidi w:val="0"/>
        <w:spacing w:before="0" w:after="0"/>
        <w:jc w:val="right"/>
        <w:rPr>
          <w:rFonts w:ascii="Times New Roman" w:hAnsi="Times New Roman"/>
          <w:i/>
          <w:sz w:val="20"/>
        </w:rPr>
      </w:pPr>
      <w:r>
        <w:rPr>
          <w:rFonts w:ascii="Times New Roman" w:hAnsi="Times New Roman"/>
          <w:i/>
          <w:sz w:val="20"/>
        </w:rPr>
        <w:t xml:space="preserve">Fourth Amendment to Receivables Financing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[Attached]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0" w:after="0"/>
        <w:jc w:val="right"/>
        <w:rPr>
          <w:rFonts w:ascii="Times New Roman" w:hAnsi="Times New Roman"/>
          <w:b/>
          <w:sz w:val="20"/>
        </w:rPr>
      </w:pPr>
      <w:r>
        <w:rPr>
          <w:rFonts w:ascii="Times New Roman" w:hAnsi="Times New Roman"/>
          <w:b/>
          <w:sz w:val="20"/>
        </w:rPr>
        <w:t xml:space="preserve">Exhibit A to </w:t>
      </w:r>
      <w:r>
        <w:rPr>
          <w:rFonts w:ascii="Times New Roman" w:hAnsi="Times New Roman"/>
          <w:b/>
          <w:strike/>
          <w:color w:val="FF0000"/>
          <w:sz w:val="20"/>
        </w:rPr>
        <w:t>3rd</w:t>
      </w:r>
      <w:r>
        <w:rPr>
          <w:rFonts w:ascii="Times New Roman" w:hAnsi="Times New Roman"/>
          <w:b/>
          <w:color w:val="0000FF"/>
          <w:sz w:val="20"/>
          <w:u w:val="single"/>
          <w:bdr w:val="double" w:sz="2" w:space="1" w:color="000000"/>
        </w:rPr>
        <w:t>4th</w:t>
      </w:r>
      <w:r>
        <w:rPr>
          <w:rFonts w:ascii="Times New Roman" w:hAnsi="Times New Roman"/>
          <w:b/>
          <w:sz w:val="20"/>
        </w:rPr>
        <w:t xml:space="preserve"> Amendment to Receivables Financing Agreement </w:t>
      </w:r>
    </w:p>
    <w:p>
      <w:pPr>
        <w:pStyle w:val="TextBody"/>
        <w:bidi w:val="0"/>
        <w:spacing w:before="240" w:after="0"/>
        <w:jc w:val="center"/>
        <w:rPr>
          <w:rFonts w:ascii="Times New Roman" w:hAnsi="Times New Roman"/>
          <w:sz w:val="20"/>
        </w:rPr>
      </w:pPr>
      <w:r>
        <w:rPr>
          <w:rFonts w:ascii="Times New Roman" w:hAnsi="Times New Roman"/>
          <w:sz w:val="20"/>
        </w:rPr>
        <w:t xml:space="preserve">RECEIVABLES FINANCING AGREEMENT </w:t>
      </w:r>
    </w:p>
    <w:p>
      <w:pPr>
        <w:pStyle w:val="TextBody"/>
        <w:bidi w:val="0"/>
        <w:spacing w:before="0" w:after="0"/>
        <w:jc w:val="center"/>
        <w:rPr>
          <w:rFonts w:ascii="Times New Roman" w:hAnsi="Times New Roman"/>
          <w:sz w:val="20"/>
        </w:rPr>
      </w:pPr>
      <w:r>
        <w:rPr>
          <w:rFonts w:ascii="Times New Roman" w:hAnsi="Times New Roman"/>
          <w:sz w:val="20"/>
        </w:rPr>
        <w:t xml:space="preserve">Dated as of February 14, 2023 </w:t>
      </w:r>
    </w:p>
    <w:p>
      <w:pPr>
        <w:pStyle w:val="TextBody"/>
        <w:bidi w:val="0"/>
        <w:spacing w:before="240" w:after="0"/>
        <w:jc w:val="center"/>
        <w:rPr>
          <w:rFonts w:ascii="Times New Roman" w:hAnsi="Times New Roman"/>
          <w:sz w:val="20"/>
        </w:rPr>
      </w:pPr>
      <w:r>
        <w:rPr>
          <w:rFonts w:ascii="Times New Roman" w:hAnsi="Times New Roman"/>
          <w:sz w:val="20"/>
        </w:rPr>
        <w:t xml:space="preserve">by and among </w:t>
      </w:r>
    </w:p>
    <w:p>
      <w:pPr>
        <w:pStyle w:val="TextBody"/>
        <w:bidi w:val="0"/>
        <w:spacing w:before="240" w:after="0"/>
        <w:jc w:val="center"/>
        <w:rPr>
          <w:rFonts w:ascii="Times New Roman" w:hAnsi="Times New Roman"/>
          <w:sz w:val="20"/>
        </w:rPr>
      </w:pPr>
      <w:r>
        <w:rPr>
          <w:rFonts w:ascii="Times New Roman" w:hAnsi="Times New Roman"/>
          <w:sz w:val="20"/>
        </w:rPr>
        <w:t xml:space="preserve">SABRE SECURITIZATION, LLC, </w:t>
      </w:r>
    </w:p>
    <w:p>
      <w:pPr>
        <w:pStyle w:val="TextBody"/>
        <w:bidi w:val="0"/>
        <w:spacing w:before="0" w:after="0"/>
        <w:jc w:val="center"/>
        <w:rPr>
          <w:rFonts w:ascii="Times New Roman" w:hAnsi="Times New Roman"/>
          <w:sz w:val="20"/>
        </w:rPr>
      </w:pPr>
      <w:r>
        <w:rPr>
          <w:rFonts w:ascii="Times New Roman" w:hAnsi="Times New Roman"/>
          <w:sz w:val="20"/>
        </w:rPr>
        <w:t xml:space="preserve">as Borrower, </w:t>
      </w:r>
    </w:p>
    <w:p>
      <w:pPr>
        <w:pStyle w:val="TextBody"/>
        <w:bidi w:val="0"/>
        <w:spacing w:before="240" w:after="0"/>
        <w:jc w:val="center"/>
        <w:rPr>
          <w:rFonts w:ascii="Times New Roman" w:hAnsi="Times New Roman"/>
          <w:sz w:val="20"/>
        </w:rPr>
      </w:pPr>
      <w:r>
        <w:rPr>
          <w:rFonts w:ascii="Times New Roman" w:hAnsi="Times New Roman"/>
          <w:sz w:val="20"/>
        </w:rPr>
        <w:t xml:space="preserve">THE PERSONS FROM TIME TO TIME PARTY HERETO, </w:t>
      </w:r>
    </w:p>
    <w:p>
      <w:pPr>
        <w:pStyle w:val="TextBody"/>
        <w:bidi w:val="0"/>
        <w:spacing w:before="0" w:after="0"/>
        <w:jc w:val="center"/>
        <w:rPr>
          <w:rFonts w:ascii="Times New Roman" w:hAnsi="Times New Roman"/>
          <w:sz w:val="20"/>
        </w:rPr>
      </w:pPr>
      <w:r>
        <w:rPr>
          <w:rFonts w:ascii="Times New Roman" w:hAnsi="Times New Roman"/>
          <w:sz w:val="20"/>
        </w:rPr>
        <w:t xml:space="preserve">as Lenders and Lender Representatives, </w:t>
      </w:r>
    </w:p>
    <w:p>
      <w:pPr>
        <w:pStyle w:val="TextBody"/>
        <w:bidi w:val="0"/>
        <w:spacing w:before="240" w:after="0"/>
        <w:jc w:val="center"/>
        <w:rPr>
          <w:rFonts w:ascii="Times New Roman" w:hAnsi="Times New Roman"/>
          <w:sz w:val="20"/>
        </w:rPr>
      </w:pPr>
      <w:r>
        <w:rPr>
          <w:rFonts w:ascii="Times New Roman" w:hAnsi="Times New Roman"/>
          <w:sz w:val="20"/>
        </w:rPr>
        <w:t xml:space="preserve">PNC BANK,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as Administrative Agent, </w:t>
      </w:r>
    </w:p>
    <w:p>
      <w:pPr>
        <w:pStyle w:val="TextBody"/>
        <w:bidi w:val="0"/>
        <w:spacing w:before="240" w:after="0"/>
        <w:jc w:val="center"/>
        <w:rPr>
          <w:rFonts w:ascii="Times New Roman" w:hAnsi="Times New Roman"/>
          <w:sz w:val="20"/>
        </w:rPr>
      </w:pPr>
      <w:r>
        <w:rPr>
          <w:rFonts w:ascii="Times New Roman" w:hAnsi="Times New Roman"/>
          <w:sz w:val="20"/>
        </w:rPr>
        <w:t>SABRE GLOBAL TECHNOLOGIES LIMITED</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SABRE GLBL INC</w:t>
      </w:r>
      <w:r>
        <w:rPr>
          <w:rFonts w:ascii="Times New Roman" w:hAnsi="Times New Roman"/>
          <w:color w:val="0000FF"/>
          <w:sz w:val="20"/>
          <w:u w:val="single"/>
          <w:bdr w:val="double" w:sz="2" w:space="1" w:color="000000"/>
        </w:rPr>
        <w:t>., and SABRE ASIA</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PACIFIC PTE. LTD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as initial Servicers,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PNC CAPITAL MARKETS LLC, </w:t>
      </w:r>
    </w:p>
    <w:p>
      <w:pPr>
        <w:pStyle w:val="TextBody"/>
        <w:bidi w:val="0"/>
        <w:spacing w:before="0" w:after="0"/>
        <w:jc w:val="center"/>
        <w:rPr>
          <w:rFonts w:ascii="Times New Roman" w:hAnsi="Times New Roman"/>
          <w:sz w:val="20"/>
        </w:rPr>
      </w:pPr>
      <w:r>
        <w:rPr>
          <w:rFonts w:ascii="Times New Roman" w:hAnsi="Times New Roman"/>
          <w:sz w:val="20"/>
        </w:rPr>
        <w:t xml:space="preserve">as Structuring Agent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01"/>
        <w:gridCol w:w="114"/>
        <w:gridCol w:w="7409"/>
        <w:gridCol w:w="146"/>
        <w:gridCol w:w="60"/>
        <w:gridCol w:w="511"/>
        <w:gridCol w:w="64"/>
      </w:tblGrid>
      <w:tr>
        <w:trPr/>
        <w:tc>
          <w:tcPr>
            <w:tcW w:w="1901"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7409"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424"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71"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9424" w:type="dxa"/>
            <w:gridSpan w:val="3"/>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r>
      <w:tr>
        <w:trPr/>
        <w:tc>
          <w:tcPr>
            <w:tcW w:w="9424"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I DEFINITIONS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right"/>
              <w:rPr>
                <w:b/>
              </w:rPr>
            </w:pPr>
            <w:r>
              <w:rPr>
                <w:b/>
              </w:rPr>
              <w:t>2</w:t>
            </w:r>
          </w:p>
        </w:tc>
        <w:tc>
          <w:tcPr>
            <w:tcW w:w="64" w:type="dxa"/>
            <w:tcBorders/>
            <w:vAlign w:val="bottom"/>
          </w:tcPr>
          <w:p>
            <w:pPr>
              <w:pStyle w:val="TableContents"/>
              <w:bidi w:val="0"/>
              <w:spacing w:before="0" w:after="283"/>
              <w:jc w:val="left"/>
              <w:rPr/>
            </w:pPr>
            <w:r>
              <w:rPr/>
              <w:t> </w:t>
            </w:r>
          </w:p>
        </w:tc>
      </w:tr>
      <w:tr>
        <w:trPr>
          <w:trHeight w:val="120" w:hRule="atLeast"/>
        </w:trPr>
        <w:tc>
          <w:tcPr>
            <w:tcW w:w="1901" w:type="dxa"/>
            <w:tcBorders/>
            <w:vAlign w:val="center"/>
          </w:tcPr>
          <w:p>
            <w:pPr>
              <w:pStyle w:val="TableContents"/>
              <w:bidi w:val="0"/>
              <w:spacing w:before="0" w:after="283"/>
              <w:jc w:val="left"/>
              <w:rPr>
                <w:sz w:val="4"/>
                <w:szCs w:val="4"/>
              </w:rPr>
            </w:pPr>
            <w:r>
              <w:rPr>
                <w:sz w:val="4"/>
                <w:szCs w:val="4"/>
              </w:rPr>
            </w:r>
          </w:p>
        </w:tc>
        <w:tc>
          <w:tcPr>
            <w:tcW w:w="7523" w:type="dxa"/>
            <w:gridSpan w:val="2"/>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r>
      <w:tr>
        <w:trPr/>
        <w:tc>
          <w:tcPr>
            <w:tcW w:w="1901"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14" w:type="dxa"/>
            <w:tcBorders/>
            <w:vAlign w:val="bottom"/>
          </w:tcPr>
          <w:p>
            <w:pPr>
              <w:pStyle w:val="TableContents"/>
              <w:bidi w:val="0"/>
              <w:spacing w:before="0" w:after="283"/>
              <w:jc w:val="left"/>
              <w:rPr/>
            </w:pPr>
            <w:r>
              <w:rPr/>
              <w:t> </w:t>
            </w:r>
          </w:p>
        </w:tc>
        <w:tc>
          <w:tcPr>
            <w:tcW w:w="7409" w:type="dxa"/>
            <w:tcBorders/>
          </w:tcPr>
          <w:p>
            <w:pPr>
              <w:pStyle w:val="TableContents"/>
              <w:bidi w:val="0"/>
              <w:spacing w:before="0" w:after="0"/>
              <w:jc w:val="left"/>
              <w:rPr>
                <w:rFonts w:ascii="Times New Roman" w:hAnsi="Times New Roman"/>
                <w:b/>
                <w:sz w:val="20"/>
              </w:rPr>
            </w:pPr>
            <w:r>
              <w:rPr>
                <w:rFonts w:ascii="Times New Roman" w:hAnsi="Times New Roman"/>
                <w:b/>
                <w:sz w:val="20"/>
              </w:rPr>
              <w:t>Certain Defined Terms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c>
          <w:tcPr>
            <w:tcW w:w="1901"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114" w:type="dxa"/>
            <w:tcBorders/>
            <w:vAlign w:val="bottom"/>
          </w:tcPr>
          <w:p>
            <w:pPr>
              <w:pStyle w:val="TableContents"/>
              <w:bidi w:val="0"/>
              <w:spacing w:before="0" w:after="283"/>
              <w:jc w:val="left"/>
              <w:rPr/>
            </w:pPr>
            <w:r>
              <w:rPr/>
              <w:t> </w:t>
            </w:r>
          </w:p>
        </w:tc>
        <w:tc>
          <w:tcPr>
            <w:tcW w:w="7409" w:type="dxa"/>
            <w:tcBorders/>
          </w:tcPr>
          <w:p>
            <w:pPr>
              <w:pStyle w:val="TableContents"/>
              <w:bidi w:val="0"/>
              <w:spacing w:before="0" w:after="0"/>
              <w:jc w:val="left"/>
              <w:rPr>
                <w:rFonts w:ascii="Times New Roman" w:hAnsi="Times New Roman"/>
                <w:b/>
                <w:sz w:val="20"/>
              </w:rPr>
            </w:pPr>
            <w:r>
              <w:rPr>
                <w:rFonts w:ascii="Times New Roman" w:hAnsi="Times New Roman"/>
                <w:b/>
                <w:sz w:val="20"/>
              </w:rPr>
              <w:t>Construction</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right"/>
              <w:rPr/>
            </w:pPr>
            <w:r>
              <w:rPr>
                <w:strike/>
                <w:color w:val="FF0000"/>
              </w:rPr>
              <w:t>47</w:t>
            </w:r>
            <w:r>
              <w:rPr>
                <w:color w:val="0000FF"/>
                <w:u w:val="single"/>
                <w:bdr w:val="double" w:sz="2" w:space="1" w:color="000000"/>
              </w:rPr>
              <w:t>49</w:t>
            </w:r>
          </w:p>
        </w:tc>
        <w:tc>
          <w:tcPr>
            <w:tcW w:w="64" w:type="dxa"/>
            <w:tcBorders/>
            <w:vAlign w:val="bottom"/>
          </w:tcPr>
          <w:p>
            <w:pPr>
              <w:pStyle w:val="TableContents"/>
              <w:bidi w:val="0"/>
              <w:spacing w:before="0" w:after="283"/>
              <w:jc w:val="left"/>
              <w:rPr/>
            </w:pPr>
            <w:r>
              <w:rPr/>
              <w:t> </w:t>
            </w:r>
          </w:p>
        </w:tc>
      </w:tr>
      <w:tr>
        <w:trPr/>
        <w:tc>
          <w:tcPr>
            <w:tcW w:w="1901"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114" w:type="dxa"/>
            <w:tcBorders/>
            <w:vAlign w:val="bottom"/>
          </w:tcPr>
          <w:p>
            <w:pPr>
              <w:pStyle w:val="TableContents"/>
              <w:bidi w:val="0"/>
              <w:spacing w:before="0" w:after="283"/>
              <w:jc w:val="left"/>
              <w:rPr/>
            </w:pPr>
            <w:r>
              <w:rPr/>
              <w:t> </w:t>
            </w:r>
          </w:p>
        </w:tc>
        <w:tc>
          <w:tcPr>
            <w:tcW w:w="7409" w:type="dxa"/>
            <w:tcBorders/>
          </w:tcPr>
          <w:p>
            <w:pPr>
              <w:pStyle w:val="TableContents"/>
              <w:bidi w:val="0"/>
              <w:spacing w:before="0" w:after="0"/>
              <w:jc w:val="left"/>
              <w:rPr>
                <w:rFonts w:ascii="Times New Roman" w:hAnsi="Times New Roman"/>
                <w:b/>
                <w:sz w:val="20"/>
              </w:rPr>
            </w:pPr>
            <w:r>
              <w:rPr>
                <w:rFonts w:ascii="Times New Roman" w:hAnsi="Times New Roman"/>
                <w:b/>
                <w:sz w:val="20"/>
              </w:rPr>
              <w:t>Accounting Principles; Changes in GAAP</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right"/>
              <w:rPr/>
            </w:pPr>
            <w:r>
              <w:rPr>
                <w:strike/>
                <w:color w:val="FF0000"/>
              </w:rPr>
              <w:t>48</w:t>
            </w:r>
            <w:r>
              <w:rPr>
                <w:color w:val="0000FF"/>
                <w:u w:val="single"/>
                <w:bdr w:val="double" w:sz="2" w:space="1" w:color="000000"/>
              </w:rPr>
              <w:t>49</w:t>
            </w:r>
          </w:p>
        </w:tc>
        <w:tc>
          <w:tcPr>
            <w:tcW w:w="64" w:type="dxa"/>
            <w:tcBorders/>
            <w:vAlign w:val="bottom"/>
          </w:tcPr>
          <w:p>
            <w:pPr>
              <w:pStyle w:val="TableContents"/>
              <w:bidi w:val="0"/>
              <w:spacing w:before="0" w:after="283"/>
              <w:jc w:val="left"/>
              <w:rPr/>
            </w:pPr>
            <w:r>
              <w:rPr/>
              <w:t> </w:t>
            </w:r>
          </w:p>
        </w:tc>
      </w:tr>
      <w:tr>
        <w:trPr/>
        <w:tc>
          <w:tcPr>
            <w:tcW w:w="1901"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114" w:type="dxa"/>
            <w:tcBorders/>
            <w:vAlign w:val="bottom"/>
          </w:tcPr>
          <w:p>
            <w:pPr>
              <w:pStyle w:val="TableContents"/>
              <w:bidi w:val="0"/>
              <w:spacing w:before="0" w:after="283"/>
              <w:jc w:val="left"/>
              <w:rPr/>
            </w:pPr>
            <w:r>
              <w:rPr/>
              <w:t> </w:t>
            </w:r>
          </w:p>
        </w:tc>
        <w:tc>
          <w:tcPr>
            <w:tcW w:w="7409" w:type="dxa"/>
            <w:tcBorders/>
          </w:tcPr>
          <w:p>
            <w:pPr>
              <w:pStyle w:val="TableContents"/>
              <w:bidi w:val="0"/>
              <w:spacing w:before="0" w:after="0"/>
              <w:jc w:val="left"/>
              <w:rPr>
                <w:rFonts w:ascii="Times New Roman" w:hAnsi="Times New Roman"/>
                <w:b/>
                <w:sz w:val="20"/>
              </w:rPr>
            </w:pPr>
            <w:r>
              <w:rPr>
                <w:rFonts w:ascii="Times New Roman" w:hAnsi="Times New Roman"/>
                <w:b/>
                <w:sz w:val="20"/>
              </w:rPr>
              <w:t>Benchmark Replacement Notification</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right"/>
              <w:rPr/>
            </w:pPr>
            <w:r>
              <w:rPr>
                <w:strike/>
                <w:color w:val="FF0000"/>
              </w:rPr>
              <w:t>48</w:t>
            </w:r>
            <w:r>
              <w:rPr>
                <w:color w:val="0000FF"/>
                <w:u w:val="single"/>
                <w:bdr w:val="double" w:sz="2" w:space="1" w:color="000000"/>
              </w:rPr>
              <w:t>50</w:t>
            </w:r>
          </w:p>
        </w:tc>
        <w:tc>
          <w:tcPr>
            <w:tcW w:w="64" w:type="dxa"/>
            <w:tcBorders/>
            <w:vAlign w:val="bottom"/>
          </w:tcPr>
          <w:p>
            <w:pPr>
              <w:pStyle w:val="TableContents"/>
              <w:bidi w:val="0"/>
              <w:spacing w:before="0" w:after="283"/>
              <w:jc w:val="left"/>
              <w:rPr/>
            </w:pPr>
            <w:r>
              <w:rPr/>
              <w:t> </w:t>
            </w:r>
          </w:p>
        </w:tc>
      </w:tr>
      <w:tr>
        <w:trPr>
          <w:trHeight w:val="120" w:hRule="atLeast"/>
        </w:trPr>
        <w:tc>
          <w:tcPr>
            <w:tcW w:w="9424" w:type="dxa"/>
            <w:gridSpan w:val="3"/>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r>
      <w:tr>
        <w:trPr/>
        <w:tc>
          <w:tcPr>
            <w:tcW w:w="9424"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II TERMS OF THE LOANS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right"/>
              <w:rPr>
                <w:b/>
              </w:rPr>
            </w:pPr>
            <w:r>
              <w:rPr>
                <w:b/>
                <w:strike/>
                <w:color w:val="FF0000"/>
              </w:rPr>
              <w:t>48</w:t>
            </w:r>
            <w:r>
              <w:rPr>
                <w:b/>
                <w:color w:val="0000FF"/>
                <w:u w:val="single"/>
                <w:bdr w:val="double" w:sz="2" w:space="1" w:color="000000"/>
              </w:rPr>
              <w:t>50</w:t>
            </w:r>
          </w:p>
        </w:tc>
        <w:tc>
          <w:tcPr>
            <w:tcW w:w="64" w:type="dxa"/>
            <w:tcBorders/>
            <w:vAlign w:val="bottom"/>
          </w:tcPr>
          <w:p>
            <w:pPr>
              <w:pStyle w:val="TableContents"/>
              <w:bidi w:val="0"/>
              <w:spacing w:before="0" w:after="283"/>
              <w:jc w:val="left"/>
              <w:rPr/>
            </w:pPr>
            <w:r>
              <w:rPr/>
              <w:t> </w:t>
            </w:r>
          </w:p>
        </w:tc>
      </w:tr>
      <w:tr>
        <w:trPr>
          <w:trHeight w:val="120" w:hRule="atLeast"/>
        </w:trPr>
        <w:tc>
          <w:tcPr>
            <w:tcW w:w="1901" w:type="dxa"/>
            <w:tcBorders/>
            <w:vAlign w:val="center"/>
          </w:tcPr>
          <w:p>
            <w:pPr>
              <w:pStyle w:val="TableContents"/>
              <w:bidi w:val="0"/>
              <w:spacing w:before="0" w:after="283"/>
              <w:jc w:val="left"/>
              <w:rPr>
                <w:sz w:val="4"/>
                <w:szCs w:val="4"/>
              </w:rPr>
            </w:pPr>
            <w:r>
              <w:rPr>
                <w:sz w:val="4"/>
                <w:szCs w:val="4"/>
              </w:rPr>
            </w:r>
          </w:p>
        </w:tc>
        <w:tc>
          <w:tcPr>
            <w:tcW w:w="7523" w:type="dxa"/>
            <w:gridSpan w:val="2"/>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r>
      <w:tr>
        <w:trPr/>
        <w:tc>
          <w:tcPr>
            <w:tcW w:w="1901"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114" w:type="dxa"/>
            <w:tcBorders/>
            <w:vAlign w:val="bottom"/>
          </w:tcPr>
          <w:p>
            <w:pPr>
              <w:pStyle w:val="TableContents"/>
              <w:bidi w:val="0"/>
              <w:spacing w:before="0" w:after="283"/>
              <w:jc w:val="left"/>
              <w:rPr/>
            </w:pPr>
            <w:r>
              <w:rPr/>
              <w:t> </w:t>
            </w:r>
          </w:p>
        </w:tc>
        <w:tc>
          <w:tcPr>
            <w:tcW w:w="7409" w:type="dxa"/>
            <w:tcBorders/>
          </w:tcPr>
          <w:p>
            <w:pPr>
              <w:pStyle w:val="TableContents"/>
              <w:bidi w:val="0"/>
              <w:spacing w:before="0" w:after="0"/>
              <w:jc w:val="left"/>
              <w:rPr>
                <w:rFonts w:ascii="Times New Roman" w:hAnsi="Times New Roman"/>
                <w:b/>
                <w:sz w:val="20"/>
              </w:rPr>
            </w:pPr>
            <w:r>
              <w:rPr>
                <w:rFonts w:ascii="Times New Roman" w:hAnsi="Times New Roman"/>
                <w:b/>
                <w:sz w:val="20"/>
              </w:rPr>
              <w:t>Loan Facility</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right"/>
              <w:rPr/>
            </w:pPr>
            <w:r>
              <w:rPr>
                <w:strike/>
                <w:color w:val="FF0000"/>
              </w:rPr>
              <w:t>48</w:t>
            </w:r>
            <w:r>
              <w:rPr>
                <w:color w:val="0000FF"/>
                <w:u w:val="single"/>
                <w:bdr w:val="double" w:sz="2" w:space="1" w:color="000000"/>
              </w:rPr>
              <w:t>50</w:t>
            </w:r>
          </w:p>
        </w:tc>
        <w:tc>
          <w:tcPr>
            <w:tcW w:w="64" w:type="dxa"/>
            <w:tcBorders/>
            <w:vAlign w:val="bottom"/>
          </w:tcPr>
          <w:p>
            <w:pPr>
              <w:pStyle w:val="TableContents"/>
              <w:bidi w:val="0"/>
              <w:spacing w:before="0" w:after="283"/>
              <w:jc w:val="left"/>
              <w:rPr/>
            </w:pPr>
            <w:r>
              <w:rPr/>
              <w:t> </w:t>
            </w:r>
          </w:p>
        </w:tc>
      </w:tr>
      <w:tr>
        <w:trPr/>
        <w:tc>
          <w:tcPr>
            <w:tcW w:w="1901"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114" w:type="dxa"/>
            <w:tcBorders/>
            <w:vAlign w:val="bottom"/>
          </w:tcPr>
          <w:p>
            <w:pPr>
              <w:pStyle w:val="TableContents"/>
              <w:bidi w:val="0"/>
              <w:spacing w:before="0" w:after="283"/>
              <w:jc w:val="left"/>
              <w:rPr/>
            </w:pPr>
            <w:r>
              <w:rPr/>
              <w:t> </w:t>
            </w:r>
          </w:p>
        </w:tc>
        <w:tc>
          <w:tcPr>
            <w:tcW w:w="7409" w:type="dxa"/>
            <w:tcBorders/>
          </w:tcPr>
          <w:p>
            <w:pPr>
              <w:pStyle w:val="TableContents"/>
              <w:bidi w:val="0"/>
              <w:spacing w:before="0" w:after="0"/>
              <w:jc w:val="left"/>
              <w:rPr>
                <w:rFonts w:ascii="Times New Roman" w:hAnsi="Times New Roman"/>
                <w:b/>
                <w:sz w:val="20"/>
              </w:rPr>
            </w:pPr>
            <w:r>
              <w:rPr>
                <w:rFonts w:ascii="Times New Roman" w:hAnsi="Times New Roman"/>
                <w:b/>
                <w:sz w:val="20"/>
              </w:rPr>
              <w:t>Making Loans; Repayment of Loans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right"/>
              <w:rPr/>
            </w:pPr>
            <w:r>
              <w:rPr>
                <w:strike/>
                <w:color w:val="FF0000"/>
              </w:rPr>
              <w:t>49</w:t>
            </w:r>
            <w:r>
              <w:rPr>
                <w:color w:val="0000FF"/>
                <w:u w:val="single"/>
                <w:bdr w:val="double" w:sz="2" w:space="1" w:color="000000"/>
              </w:rPr>
              <w:t>51</w:t>
            </w:r>
          </w:p>
        </w:tc>
        <w:tc>
          <w:tcPr>
            <w:tcW w:w="64" w:type="dxa"/>
            <w:tcBorders/>
            <w:vAlign w:val="bottom"/>
          </w:tcPr>
          <w:p>
            <w:pPr>
              <w:pStyle w:val="TableContents"/>
              <w:bidi w:val="0"/>
              <w:spacing w:before="0" w:after="283"/>
              <w:jc w:val="left"/>
              <w:rPr/>
            </w:pPr>
            <w:r>
              <w:rPr/>
              <w:t> </w:t>
            </w:r>
          </w:p>
        </w:tc>
      </w:tr>
      <w:tr>
        <w:trPr/>
        <w:tc>
          <w:tcPr>
            <w:tcW w:w="1901"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114" w:type="dxa"/>
            <w:tcBorders/>
            <w:vAlign w:val="bottom"/>
          </w:tcPr>
          <w:p>
            <w:pPr>
              <w:pStyle w:val="TableContents"/>
              <w:bidi w:val="0"/>
              <w:spacing w:before="0" w:after="283"/>
              <w:jc w:val="left"/>
              <w:rPr/>
            </w:pPr>
            <w:r>
              <w:rPr/>
              <w:t> </w:t>
            </w:r>
          </w:p>
        </w:tc>
        <w:tc>
          <w:tcPr>
            <w:tcW w:w="7409" w:type="dxa"/>
            <w:tcBorders/>
          </w:tcPr>
          <w:p>
            <w:pPr>
              <w:pStyle w:val="TableContents"/>
              <w:bidi w:val="0"/>
              <w:spacing w:before="0" w:after="0"/>
              <w:jc w:val="left"/>
              <w:rPr>
                <w:rFonts w:ascii="Times New Roman" w:hAnsi="Times New Roman"/>
                <w:b/>
                <w:sz w:val="20"/>
              </w:rPr>
            </w:pPr>
            <w:r>
              <w:rPr>
                <w:rFonts w:ascii="Times New Roman" w:hAnsi="Times New Roman"/>
                <w:b/>
                <w:sz w:val="20"/>
              </w:rPr>
              <w:t>Interest and Fees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right"/>
              <w:rPr/>
            </w:pPr>
            <w:r>
              <w:rPr>
                <w:strike/>
                <w:color w:val="FF0000"/>
              </w:rPr>
              <w:t>52</w:t>
            </w:r>
            <w:r>
              <w:rPr>
                <w:color w:val="0000FF"/>
                <w:u w:val="single"/>
                <w:bdr w:val="double" w:sz="2" w:space="1" w:color="000000"/>
              </w:rPr>
              <w:t>54</w:t>
            </w:r>
          </w:p>
        </w:tc>
        <w:tc>
          <w:tcPr>
            <w:tcW w:w="64" w:type="dxa"/>
            <w:tcBorders/>
            <w:vAlign w:val="bottom"/>
          </w:tcPr>
          <w:p>
            <w:pPr>
              <w:pStyle w:val="TableContents"/>
              <w:bidi w:val="0"/>
              <w:spacing w:before="0" w:after="283"/>
              <w:jc w:val="left"/>
              <w:rPr/>
            </w:pPr>
            <w:r>
              <w:rPr/>
              <w:t> </w:t>
            </w:r>
          </w:p>
        </w:tc>
      </w:tr>
      <w:tr>
        <w:trPr/>
        <w:tc>
          <w:tcPr>
            <w:tcW w:w="1901"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114" w:type="dxa"/>
            <w:tcBorders/>
            <w:vAlign w:val="bottom"/>
          </w:tcPr>
          <w:p>
            <w:pPr>
              <w:pStyle w:val="TableContents"/>
              <w:bidi w:val="0"/>
              <w:spacing w:before="0" w:after="283"/>
              <w:jc w:val="left"/>
              <w:rPr/>
            </w:pPr>
            <w:r>
              <w:rPr/>
              <w:t> </w:t>
            </w:r>
          </w:p>
        </w:tc>
        <w:tc>
          <w:tcPr>
            <w:tcW w:w="7409" w:type="dxa"/>
            <w:tcBorders/>
          </w:tcPr>
          <w:p>
            <w:pPr>
              <w:pStyle w:val="TableContents"/>
              <w:bidi w:val="0"/>
              <w:spacing w:before="0" w:after="0"/>
              <w:jc w:val="left"/>
              <w:rPr>
                <w:rFonts w:ascii="Times New Roman" w:hAnsi="Times New Roman"/>
                <w:b/>
                <w:sz w:val="20"/>
              </w:rPr>
            </w:pPr>
            <w:r>
              <w:rPr>
                <w:rFonts w:ascii="Times New Roman" w:hAnsi="Times New Roman"/>
                <w:b/>
                <w:sz w:val="20"/>
              </w:rPr>
              <w:t>Daily 1M SOFR or Term SOFR Rate Unascertainable; Increased Costs; Illegality; Benchmark Replacement Setting</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right"/>
              <w:rPr/>
            </w:pPr>
            <w:r>
              <w:rPr>
                <w:strike/>
                <w:color w:val="FF0000"/>
              </w:rPr>
              <w:t>54</w:t>
            </w:r>
            <w:r>
              <w:rPr>
                <w:color w:val="0000FF"/>
                <w:u w:val="single"/>
                <w:bdr w:val="double" w:sz="2" w:space="1" w:color="000000"/>
              </w:rPr>
              <w:t>55</w:t>
            </w:r>
          </w:p>
        </w:tc>
        <w:tc>
          <w:tcPr>
            <w:tcW w:w="64" w:type="dxa"/>
            <w:tcBorders/>
            <w:vAlign w:val="bottom"/>
          </w:tcPr>
          <w:p>
            <w:pPr>
              <w:pStyle w:val="TableContents"/>
              <w:bidi w:val="0"/>
              <w:spacing w:before="0" w:after="283"/>
              <w:jc w:val="left"/>
              <w:rPr/>
            </w:pPr>
            <w:r>
              <w:rPr/>
              <w:t> </w:t>
            </w:r>
          </w:p>
        </w:tc>
      </w:tr>
      <w:tr>
        <w:trPr/>
        <w:tc>
          <w:tcPr>
            <w:tcW w:w="1901"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114" w:type="dxa"/>
            <w:tcBorders/>
            <w:vAlign w:val="bottom"/>
          </w:tcPr>
          <w:p>
            <w:pPr>
              <w:pStyle w:val="TableContents"/>
              <w:bidi w:val="0"/>
              <w:spacing w:before="0" w:after="283"/>
              <w:jc w:val="left"/>
              <w:rPr/>
            </w:pPr>
            <w:r>
              <w:rPr/>
              <w:t> </w:t>
            </w:r>
          </w:p>
        </w:tc>
        <w:tc>
          <w:tcPr>
            <w:tcW w:w="7409" w:type="dxa"/>
            <w:tcBorders/>
          </w:tcPr>
          <w:p>
            <w:pPr>
              <w:pStyle w:val="TableContents"/>
              <w:bidi w:val="0"/>
              <w:spacing w:before="0" w:after="0"/>
              <w:jc w:val="left"/>
              <w:rPr>
                <w:rFonts w:ascii="Times New Roman" w:hAnsi="Times New Roman"/>
                <w:b/>
                <w:sz w:val="20"/>
              </w:rPr>
            </w:pPr>
            <w:r>
              <w:rPr>
                <w:rFonts w:ascii="Times New Roman" w:hAnsi="Times New Roman"/>
                <w:b/>
                <w:sz w:val="20"/>
              </w:rPr>
              <w:t>Records of Loans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right"/>
              <w:rPr/>
            </w:pPr>
            <w:r>
              <w:rPr>
                <w:strike/>
                <w:color w:val="FF0000"/>
              </w:rPr>
              <w:t>59</w:t>
            </w:r>
            <w:r>
              <w:rPr>
                <w:color w:val="0000FF"/>
                <w:u w:val="single"/>
                <w:bdr w:val="double" w:sz="2" w:space="1" w:color="000000"/>
              </w:rPr>
              <w:t>61</w:t>
            </w:r>
          </w:p>
        </w:tc>
        <w:tc>
          <w:tcPr>
            <w:tcW w:w="64" w:type="dxa"/>
            <w:tcBorders/>
            <w:vAlign w:val="bottom"/>
          </w:tcPr>
          <w:p>
            <w:pPr>
              <w:pStyle w:val="TableContents"/>
              <w:bidi w:val="0"/>
              <w:spacing w:before="0" w:after="283"/>
              <w:jc w:val="left"/>
              <w:rPr/>
            </w:pPr>
            <w:r>
              <w:rPr/>
              <w:t> </w:t>
            </w:r>
          </w:p>
        </w:tc>
      </w:tr>
      <w:tr>
        <w:trPr/>
        <w:tc>
          <w:tcPr>
            <w:tcW w:w="1901"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114" w:type="dxa"/>
            <w:tcBorders/>
            <w:vAlign w:val="bottom"/>
          </w:tcPr>
          <w:p>
            <w:pPr>
              <w:pStyle w:val="TableContents"/>
              <w:bidi w:val="0"/>
              <w:spacing w:before="0" w:after="283"/>
              <w:jc w:val="left"/>
              <w:rPr/>
            </w:pPr>
            <w:r>
              <w:rPr/>
              <w:t> </w:t>
            </w:r>
          </w:p>
        </w:tc>
        <w:tc>
          <w:tcPr>
            <w:tcW w:w="7409" w:type="dxa"/>
            <w:tcBorders/>
          </w:tcPr>
          <w:p>
            <w:pPr>
              <w:pStyle w:val="TableContents"/>
              <w:bidi w:val="0"/>
              <w:spacing w:before="0" w:after="0"/>
              <w:jc w:val="left"/>
              <w:rPr>
                <w:rFonts w:ascii="Times New Roman" w:hAnsi="Times New Roman"/>
                <w:b/>
                <w:sz w:val="20"/>
              </w:rPr>
            </w:pPr>
            <w:r>
              <w:rPr>
                <w:rFonts w:ascii="Times New Roman" w:hAnsi="Times New Roman"/>
                <w:b/>
                <w:sz w:val="20"/>
              </w:rPr>
              <w:t>Defaulting Lenders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right"/>
              <w:rPr/>
            </w:pPr>
            <w:r>
              <w:rPr>
                <w:strike/>
                <w:color w:val="FF0000"/>
              </w:rPr>
              <w:t>60</w:t>
            </w:r>
            <w:r>
              <w:rPr>
                <w:color w:val="0000FF"/>
                <w:u w:val="single"/>
                <w:bdr w:val="double" w:sz="2" w:space="1" w:color="000000"/>
              </w:rPr>
              <w:t>61</w:t>
            </w:r>
          </w:p>
        </w:tc>
        <w:tc>
          <w:tcPr>
            <w:tcW w:w="64" w:type="dxa"/>
            <w:tcBorders/>
            <w:vAlign w:val="bottom"/>
          </w:tcPr>
          <w:p>
            <w:pPr>
              <w:pStyle w:val="TableContents"/>
              <w:bidi w:val="0"/>
              <w:spacing w:before="0" w:after="283"/>
              <w:jc w:val="left"/>
              <w:rPr/>
            </w:pPr>
            <w:r>
              <w:rPr/>
              <w:t> </w:t>
            </w:r>
          </w:p>
        </w:tc>
      </w:tr>
      <w:tr>
        <w:trPr/>
        <w:tc>
          <w:tcPr>
            <w:tcW w:w="1901"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114" w:type="dxa"/>
            <w:tcBorders/>
            <w:vAlign w:val="bottom"/>
          </w:tcPr>
          <w:p>
            <w:pPr>
              <w:pStyle w:val="TableContents"/>
              <w:bidi w:val="0"/>
              <w:spacing w:before="0" w:after="283"/>
              <w:jc w:val="left"/>
              <w:rPr/>
            </w:pPr>
            <w:r>
              <w:rPr/>
              <w:t> </w:t>
            </w:r>
          </w:p>
        </w:tc>
        <w:tc>
          <w:tcPr>
            <w:tcW w:w="7409" w:type="dxa"/>
            <w:tcBorders/>
          </w:tcPr>
          <w:p>
            <w:pPr>
              <w:pStyle w:val="TableContents"/>
              <w:bidi w:val="0"/>
              <w:spacing w:before="0" w:after="0"/>
              <w:jc w:val="left"/>
              <w:rPr>
                <w:rFonts w:ascii="Times New Roman" w:hAnsi="Times New Roman"/>
                <w:b/>
                <w:sz w:val="20"/>
              </w:rPr>
            </w:pPr>
            <w:r>
              <w:rPr>
                <w:rFonts w:ascii="Times New Roman" w:hAnsi="Times New Roman"/>
                <w:b/>
                <w:sz w:val="20"/>
              </w:rPr>
              <w:t>Security Interest</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right"/>
              <w:rPr/>
            </w:pPr>
            <w:r>
              <w:rPr>
                <w:strike/>
                <w:color w:val="FF0000"/>
              </w:rPr>
              <w:t>61</w:t>
            </w:r>
            <w:r>
              <w:rPr>
                <w:color w:val="0000FF"/>
                <w:u w:val="single"/>
                <w:bdr w:val="double" w:sz="2" w:space="1" w:color="000000"/>
              </w:rPr>
              <w:t>63</w:t>
            </w:r>
          </w:p>
        </w:tc>
        <w:tc>
          <w:tcPr>
            <w:tcW w:w="64" w:type="dxa"/>
            <w:tcBorders/>
            <w:vAlign w:val="bottom"/>
          </w:tcPr>
          <w:p>
            <w:pPr>
              <w:pStyle w:val="TableContents"/>
              <w:bidi w:val="0"/>
              <w:spacing w:before="0" w:after="283"/>
              <w:jc w:val="left"/>
              <w:rPr/>
            </w:pPr>
            <w:r>
              <w:rPr/>
              <w:t> </w:t>
            </w:r>
          </w:p>
        </w:tc>
      </w:tr>
      <w:tr>
        <w:trPr>
          <w:trHeight w:val="120" w:hRule="atLeast"/>
        </w:trPr>
        <w:tc>
          <w:tcPr>
            <w:tcW w:w="9424" w:type="dxa"/>
            <w:gridSpan w:val="3"/>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r>
      <w:tr>
        <w:trPr/>
        <w:tc>
          <w:tcPr>
            <w:tcW w:w="9424"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III SETTLEMENT PROCEDURES AND PAYMENT PROVISIONS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right"/>
              <w:rPr>
                <w:b/>
              </w:rPr>
            </w:pPr>
            <w:r>
              <w:rPr>
                <w:b/>
                <w:strike/>
                <w:color w:val="FF0000"/>
              </w:rPr>
              <w:t>62</w:t>
            </w:r>
            <w:r>
              <w:rPr>
                <w:b/>
                <w:color w:val="0000FF"/>
                <w:u w:val="single"/>
                <w:bdr w:val="double" w:sz="2" w:space="1" w:color="000000"/>
              </w:rPr>
              <w:t>64</w:t>
            </w:r>
          </w:p>
        </w:tc>
        <w:tc>
          <w:tcPr>
            <w:tcW w:w="64" w:type="dxa"/>
            <w:tcBorders/>
            <w:vAlign w:val="bottom"/>
          </w:tcPr>
          <w:p>
            <w:pPr>
              <w:pStyle w:val="TableContents"/>
              <w:bidi w:val="0"/>
              <w:spacing w:before="0" w:after="283"/>
              <w:jc w:val="left"/>
              <w:rPr/>
            </w:pPr>
            <w:r>
              <w:rPr/>
              <w:t> </w:t>
            </w:r>
          </w:p>
        </w:tc>
      </w:tr>
      <w:tr>
        <w:trPr>
          <w:trHeight w:val="120" w:hRule="atLeast"/>
        </w:trPr>
        <w:tc>
          <w:tcPr>
            <w:tcW w:w="1901" w:type="dxa"/>
            <w:tcBorders/>
            <w:vAlign w:val="center"/>
          </w:tcPr>
          <w:p>
            <w:pPr>
              <w:pStyle w:val="TableContents"/>
              <w:bidi w:val="0"/>
              <w:spacing w:before="0" w:after="283"/>
              <w:jc w:val="left"/>
              <w:rPr>
                <w:sz w:val="4"/>
                <w:szCs w:val="4"/>
              </w:rPr>
            </w:pPr>
            <w:r>
              <w:rPr>
                <w:sz w:val="4"/>
                <w:szCs w:val="4"/>
              </w:rPr>
            </w:r>
          </w:p>
        </w:tc>
        <w:tc>
          <w:tcPr>
            <w:tcW w:w="7523" w:type="dxa"/>
            <w:gridSpan w:val="2"/>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r>
      <w:tr>
        <w:trPr/>
        <w:tc>
          <w:tcPr>
            <w:tcW w:w="1901"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114" w:type="dxa"/>
            <w:tcBorders/>
            <w:vAlign w:val="bottom"/>
          </w:tcPr>
          <w:p>
            <w:pPr>
              <w:pStyle w:val="TableContents"/>
              <w:bidi w:val="0"/>
              <w:spacing w:before="0" w:after="283"/>
              <w:jc w:val="left"/>
              <w:rPr/>
            </w:pPr>
            <w:r>
              <w:rPr/>
              <w:t> </w:t>
            </w:r>
          </w:p>
        </w:tc>
        <w:tc>
          <w:tcPr>
            <w:tcW w:w="7409" w:type="dxa"/>
            <w:tcBorders/>
          </w:tcPr>
          <w:p>
            <w:pPr>
              <w:pStyle w:val="TableContents"/>
              <w:bidi w:val="0"/>
              <w:spacing w:before="0" w:after="0"/>
              <w:jc w:val="left"/>
              <w:rPr>
                <w:rFonts w:ascii="Times New Roman" w:hAnsi="Times New Roman"/>
                <w:b/>
                <w:sz w:val="20"/>
              </w:rPr>
            </w:pPr>
            <w:r>
              <w:rPr>
                <w:rFonts w:ascii="Times New Roman" w:hAnsi="Times New Roman"/>
                <w:b/>
                <w:sz w:val="20"/>
              </w:rPr>
              <w:t>Settlement Procedures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right"/>
              <w:rPr/>
            </w:pPr>
            <w:r>
              <w:rPr>
                <w:strike/>
                <w:color w:val="FF0000"/>
              </w:rPr>
              <w:t>62</w:t>
            </w:r>
            <w:r>
              <w:rPr>
                <w:color w:val="0000FF"/>
                <w:u w:val="single"/>
                <w:bdr w:val="double" w:sz="2" w:space="1" w:color="000000"/>
              </w:rPr>
              <w:t>64</w:t>
            </w:r>
          </w:p>
        </w:tc>
        <w:tc>
          <w:tcPr>
            <w:tcW w:w="64" w:type="dxa"/>
            <w:tcBorders/>
            <w:vAlign w:val="bottom"/>
          </w:tcPr>
          <w:p>
            <w:pPr>
              <w:pStyle w:val="TableContents"/>
              <w:bidi w:val="0"/>
              <w:spacing w:before="0" w:after="283"/>
              <w:jc w:val="left"/>
              <w:rPr/>
            </w:pPr>
            <w:r>
              <w:rPr/>
              <w:t> </w:t>
            </w:r>
          </w:p>
        </w:tc>
      </w:tr>
      <w:tr>
        <w:trPr/>
        <w:tc>
          <w:tcPr>
            <w:tcW w:w="1901"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114" w:type="dxa"/>
            <w:tcBorders/>
            <w:vAlign w:val="bottom"/>
          </w:tcPr>
          <w:p>
            <w:pPr>
              <w:pStyle w:val="TableContents"/>
              <w:bidi w:val="0"/>
              <w:spacing w:before="0" w:after="283"/>
              <w:jc w:val="left"/>
              <w:rPr/>
            </w:pPr>
            <w:r>
              <w:rPr/>
              <w:t> </w:t>
            </w:r>
          </w:p>
        </w:tc>
        <w:tc>
          <w:tcPr>
            <w:tcW w:w="7409" w:type="dxa"/>
            <w:tcBorders/>
          </w:tcPr>
          <w:p>
            <w:pPr>
              <w:pStyle w:val="TableContents"/>
              <w:bidi w:val="0"/>
              <w:spacing w:before="0" w:after="0"/>
              <w:jc w:val="left"/>
              <w:rPr>
                <w:rFonts w:ascii="Times New Roman" w:hAnsi="Times New Roman"/>
                <w:b/>
                <w:sz w:val="20"/>
              </w:rPr>
            </w:pPr>
            <w:r>
              <w:rPr>
                <w:rFonts w:ascii="Times New Roman" w:hAnsi="Times New Roman"/>
                <w:b/>
                <w:sz w:val="20"/>
              </w:rPr>
              <w:t>Payments and Computations, Etc.</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right"/>
              <w:rPr/>
            </w:pPr>
            <w:r>
              <w:rPr>
                <w:strike/>
                <w:color w:val="FF0000"/>
              </w:rPr>
              <w:t>66</w:t>
            </w:r>
            <w:r>
              <w:rPr>
                <w:color w:val="0000FF"/>
                <w:u w:val="single"/>
                <w:bdr w:val="double" w:sz="2" w:space="1" w:color="000000"/>
              </w:rPr>
              <w:t>68</w:t>
            </w:r>
          </w:p>
        </w:tc>
        <w:tc>
          <w:tcPr>
            <w:tcW w:w="64" w:type="dxa"/>
            <w:tcBorders/>
            <w:vAlign w:val="bottom"/>
          </w:tcPr>
          <w:p>
            <w:pPr>
              <w:pStyle w:val="TableContents"/>
              <w:bidi w:val="0"/>
              <w:spacing w:before="0" w:after="283"/>
              <w:jc w:val="left"/>
              <w:rPr/>
            </w:pPr>
            <w:r>
              <w:rPr/>
              <w:t> </w:t>
            </w:r>
          </w:p>
        </w:tc>
      </w:tr>
      <w:tr>
        <w:trPr/>
        <w:tc>
          <w:tcPr>
            <w:tcW w:w="1901"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114" w:type="dxa"/>
            <w:tcBorders/>
            <w:vAlign w:val="bottom"/>
          </w:tcPr>
          <w:p>
            <w:pPr>
              <w:pStyle w:val="TableContents"/>
              <w:bidi w:val="0"/>
              <w:spacing w:before="0" w:after="283"/>
              <w:jc w:val="left"/>
              <w:rPr/>
            </w:pPr>
            <w:r>
              <w:rPr/>
              <w:t> </w:t>
            </w:r>
          </w:p>
        </w:tc>
        <w:tc>
          <w:tcPr>
            <w:tcW w:w="7409" w:type="dxa"/>
            <w:tcBorders/>
          </w:tcPr>
          <w:p>
            <w:pPr>
              <w:pStyle w:val="TableContents"/>
              <w:bidi w:val="0"/>
              <w:spacing w:before="0" w:after="0"/>
              <w:jc w:val="left"/>
              <w:rPr>
                <w:rFonts w:ascii="Times New Roman" w:hAnsi="Times New Roman"/>
                <w:b/>
                <w:sz w:val="20"/>
              </w:rPr>
            </w:pPr>
            <w:r>
              <w:rPr>
                <w:rFonts w:ascii="Times New Roman" w:hAnsi="Times New Roman"/>
                <w:b/>
                <w:sz w:val="20"/>
              </w:rPr>
              <w:t>Sharing of Payments by Lenders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right"/>
              <w:rPr/>
            </w:pPr>
            <w:r>
              <w:rPr>
                <w:strike/>
                <w:color w:val="FF0000"/>
              </w:rPr>
              <w:t>68</w:t>
            </w:r>
            <w:r>
              <w:rPr>
                <w:color w:val="0000FF"/>
                <w:u w:val="single"/>
                <w:bdr w:val="double" w:sz="2" w:space="1" w:color="000000"/>
              </w:rPr>
              <w:t>70</w:t>
            </w:r>
          </w:p>
        </w:tc>
        <w:tc>
          <w:tcPr>
            <w:tcW w:w="64" w:type="dxa"/>
            <w:tcBorders/>
            <w:vAlign w:val="bottom"/>
          </w:tcPr>
          <w:p>
            <w:pPr>
              <w:pStyle w:val="TableContents"/>
              <w:bidi w:val="0"/>
              <w:spacing w:before="0" w:after="283"/>
              <w:jc w:val="left"/>
              <w:rPr/>
            </w:pPr>
            <w:r>
              <w:rPr/>
              <w:t> </w:t>
            </w:r>
          </w:p>
        </w:tc>
      </w:tr>
      <w:tr>
        <w:trPr/>
        <w:tc>
          <w:tcPr>
            <w:tcW w:w="1901"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114" w:type="dxa"/>
            <w:tcBorders/>
            <w:vAlign w:val="bottom"/>
          </w:tcPr>
          <w:p>
            <w:pPr>
              <w:pStyle w:val="TableContents"/>
              <w:bidi w:val="0"/>
              <w:spacing w:before="0" w:after="283"/>
              <w:jc w:val="left"/>
              <w:rPr/>
            </w:pPr>
            <w:r>
              <w:rPr/>
              <w:t> </w:t>
            </w:r>
          </w:p>
        </w:tc>
        <w:tc>
          <w:tcPr>
            <w:tcW w:w="7409" w:type="dxa"/>
            <w:tcBorders/>
          </w:tcPr>
          <w:p>
            <w:pPr>
              <w:pStyle w:val="TableContents"/>
              <w:bidi w:val="0"/>
              <w:spacing w:before="0" w:after="0"/>
              <w:jc w:val="left"/>
              <w:rPr>
                <w:rFonts w:ascii="Times New Roman" w:hAnsi="Times New Roman"/>
                <w:b/>
                <w:sz w:val="20"/>
              </w:rPr>
            </w:pPr>
            <w:r>
              <w:rPr>
                <w:rFonts w:ascii="Times New Roman" w:hAnsi="Times New Roman"/>
                <w:b/>
                <w:sz w:val="20"/>
              </w:rPr>
              <w:t>Administrative Agent’s Clawback</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right"/>
              <w:rPr/>
            </w:pPr>
            <w:r>
              <w:rPr>
                <w:strike/>
                <w:color w:val="FF0000"/>
              </w:rPr>
              <w:t>69</w:t>
            </w:r>
            <w:r>
              <w:rPr>
                <w:color w:val="0000FF"/>
                <w:u w:val="single"/>
                <w:bdr w:val="double" w:sz="2" w:space="1" w:color="000000"/>
              </w:rPr>
              <w:t>70</w:t>
            </w:r>
          </w:p>
        </w:tc>
        <w:tc>
          <w:tcPr>
            <w:tcW w:w="64" w:type="dxa"/>
            <w:tcBorders/>
            <w:vAlign w:val="bottom"/>
          </w:tcPr>
          <w:p>
            <w:pPr>
              <w:pStyle w:val="TableContents"/>
              <w:bidi w:val="0"/>
              <w:spacing w:before="0" w:after="283"/>
              <w:jc w:val="left"/>
              <w:rPr/>
            </w:pPr>
            <w:r>
              <w:rPr/>
              <w:t> </w:t>
            </w:r>
          </w:p>
        </w:tc>
      </w:tr>
      <w:tr>
        <w:trPr>
          <w:trHeight w:val="120" w:hRule="atLeast"/>
        </w:trPr>
        <w:tc>
          <w:tcPr>
            <w:tcW w:w="9424" w:type="dxa"/>
            <w:gridSpan w:val="3"/>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r>
      <w:tr>
        <w:trPr/>
        <w:tc>
          <w:tcPr>
            <w:tcW w:w="9424"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IV INCREASED COSTS; FUNDING LOSSES; TAXES; ILLEGALITY AND SECURITY INTEREST</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right"/>
              <w:rPr>
                <w:b/>
              </w:rPr>
            </w:pPr>
            <w:r>
              <w:rPr>
                <w:b/>
                <w:strike/>
                <w:color w:val="FF0000"/>
              </w:rPr>
              <w:t>70</w:t>
            </w:r>
            <w:r>
              <w:rPr>
                <w:b/>
                <w:color w:val="0000FF"/>
                <w:u w:val="single"/>
                <w:bdr w:val="double" w:sz="2" w:space="1" w:color="000000"/>
              </w:rPr>
              <w:t>71</w:t>
            </w:r>
          </w:p>
        </w:tc>
        <w:tc>
          <w:tcPr>
            <w:tcW w:w="64" w:type="dxa"/>
            <w:tcBorders/>
            <w:vAlign w:val="bottom"/>
          </w:tcPr>
          <w:p>
            <w:pPr>
              <w:pStyle w:val="TableContents"/>
              <w:bidi w:val="0"/>
              <w:spacing w:before="0" w:after="283"/>
              <w:jc w:val="left"/>
              <w:rPr/>
            </w:pPr>
            <w:r>
              <w:rPr/>
              <w:t> </w:t>
            </w:r>
          </w:p>
        </w:tc>
      </w:tr>
      <w:tr>
        <w:trPr>
          <w:trHeight w:val="120" w:hRule="atLeast"/>
        </w:trPr>
        <w:tc>
          <w:tcPr>
            <w:tcW w:w="1901" w:type="dxa"/>
            <w:tcBorders/>
            <w:vAlign w:val="center"/>
          </w:tcPr>
          <w:p>
            <w:pPr>
              <w:pStyle w:val="TableContents"/>
              <w:bidi w:val="0"/>
              <w:spacing w:before="0" w:after="283"/>
              <w:jc w:val="left"/>
              <w:rPr>
                <w:sz w:val="4"/>
                <w:szCs w:val="4"/>
              </w:rPr>
            </w:pPr>
            <w:r>
              <w:rPr>
                <w:sz w:val="4"/>
                <w:szCs w:val="4"/>
              </w:rPr>
            </w:r>
          </w:p>
        </w:tc>
        <w:tc>
          <w:tcPr>
            <w:tcW w:w="7523" w:type="dxa"/>
            <w:gridSpan w:val="2"/>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r>
      <w:tr>
        <w:trPr/>
        <w:tc>
          <w:tcPr>
            <w:tcW w:w="1901"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114" w:type="dxa"/>
            <w:tcBorders/>
            <w:vAlign w:val="bottom"/>
          </w:tcPr>
          <w:p>
            <w:pPr>
              <w:pStyle w:val="TableContents"/>
              <w:bidi w:val="0"/>
              <w:spacing w:before="0" w:after="283"/>
              <w:jc w:val="left"/>
              <w:rPr/>
            </w:pPr>
            <w:r>
              <w:rPr/>
              <w:t> </w:t>
            </w:r>
          </w:p>
        </w:tc>
        <w:tc>
          <w:tcPr>
            <w:tcW w:w="7409" w:type="dxa"/>
            <w:tcBorders/>
          </w:tcPr>
          <w:p>
            <w:pPr>
              <w:pStyle w:val="TableContents"/>
              <w:bidi w:val="0"/>
              <w:spacing w:before="0" w:after="0"/>
              <w:jc w:val="left"/>
              <w:rPr>
                <w:rFonts w:ascii="Times New Roman" w:hAnsi="Times New Roman"/>
                <w:b/>
                <w:sz w:val="20"/>
              </w:rPr>
            </w:pPr>
            <w:r>
              <w:rPr>
                <w:rFonts w:ascii="Times New Roman" w:hAnsi="Times New Roman"/>
                <w:b/>
                <w:sz w:val="20"/>
              </w:rPr>
              <w:t>Increased Costs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right"/>
              <w:rPr/>
            </w:pPr>
            <w:r>
              <w:rPr>
                <w:strike/>
                <w:color w:val="FF0000"/>
              </w:rPr>
              <w:t>70</w:t>
            </w:r>
            <w:r>
              <w:rPr>
                <w:color w:val="0000FF"/>
                <w:u w:val="single"/>
                <w:bdr w:val="double" w:sz="2" w:space="1" w:color="000000"/>
              </w:rPr>
              <w:t>71</w:t>
            </w:r>
          </w:p>
        </w:tc>
        <w:tc>
          <w:tcPr>
            <w:tcW w:w="64" w:type="dxa"/>
            <w:tcBorders/>
            <w:vAlign w:val="bottom"/>
          </w:tcPr>
          <w:p>
            <w:pPr>
              <w:pStyle w:val="TableContents"/>
              <w:bidi w:val="0"/>
              <w:spacing w:before="0" w:after="283"/>
              <w:jc w:val="left"/>
              <w:rPr/>
            </w:pPr>
            <w:r>
              <w:rPr/>
              <w:t> </w:t>
            </w:r>
          </w:p>
        </w:tc>
      </w:tr>
      <w:tr>
        <w:trPr/>
        <w:tc>
          <w:tcPr>
            <w:tcW w:w="1901"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114" w:type="dxa"/>
            <w:tcBorders/>
            <w:vAlign w:val="bottom"/>
          </w:tcPr>
          <w:p>
            <w:pPr>
              <w:pStyle w:val="TableContents"/>
              <w:bidi w:val="0"/>
              <w:spacing w:before="0" w:after="283"/>
              <w:jc w:val="left"/>
              <w:rPr/>
            </w:pPr>
            <w:r>
              <w:rPr/>
              <w:t> </w:t>
            </w:r>
          </w:p>
        </w:tc>
        <w:tc>
          <w:tcPr>
            <w:tcW w:w="7409" w:type="dxa"/>
            <w:tcBorders/>
          </w:tcPr>
          <w:p>
            <w:pPr>
              <w:pStyle w:val="TableContents"/>
              <w:bidi w:val="0"/>
              <w:spacing w:before="0" w:after="0"/>
              <w:jc w:val="left"/>
              <w:rPr>
                <w:rFonts w:ascii="Times New Roman" w:hAnsi="Times New Roman"/>
                <w:b/>
                <w:sz w:val="20"/>
              </w:rPr>
            </w:pPr>
            <w:r>
              <w:rPr>
                <w:rFonts w:ascii="Times New Roman" w:hAnsi="Times New Roman"/>
                <w:b/>
                <w:sz w:val="20"/>
              </w:rPr>
              <w:t>Indemnity for Funding Losses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right"/>
              <w:rPr/>
            </w:pPr>
            <w:r>
              <w:rPr>
                <w:strike/>
                <w:color w:val="FF0000"/>
              </w:rPr>
              <w:t>71</w:t>
            </w:r>
            <w:r>
              <w:rPr>
                <w:color w:val="0000FF"/>
                <w:u w:val="single"/>
                <w:bdr w:val="double" w:sz="2" w:space="1" w:color="000000"/>
              </w:rPr>
              <w:t>72</w:t>
            </w:r>
          </w:p>
        </w:tc>
        <w:tc>
          <w:tcPr>
            <w:tcW w:w="64" w:type="dxa"/>
            <w:tcBorders/>
            <w:vAlign w:val="bottom"/>
          </w:tcPr>
          <w:p>
            <w:pPr>
              <w:pStyle w:val="TableContents"/>
              <w:bidi w:val="0"/>
              <w:spacing w:before="0" w:after="283"/>
              <w:jc w:val="left"/>
              <w:rPr/>
            </w:pPr>
            <w:r>
              <w:rPr/>
              <w:t> </w:t>
            </w:r>
          </w:p>
        </w:tc>
      </w:tr>
      <w:tr>
        <w:trPr/>
        <w:tc>
          <w:tcPr>
            <w:tcW w:w="1901" w:type="dxa"/>
            <w:tcBorders/>
          </w:tcPr>
          <w:p>
            <w:pPr>
              <w:pStyle w:val="TableContents"/>
              <w:bidi w:val="0"/>
              <w:spacing w:before="0" w:after="0"/>
              <w:jc w:val="left"/>
              <w:rPr>
                <w:rFonts w:ascii="Times New Roman" w:hAnsi="Times New Roman"/>
                <w:sz w:val="20"/>
              </w:rPr>
            </w:pPr>
            <w:r>
              <w:rPr>
                <w:rFonts w:ascii="Times New Roman" w:hAnsi="Times New Roman"/>
                <w:sz w:val="20"/>
              </w:rPr>
              <w:t>SECTION 4.03</w:t>
            </w:r>
          </w:p>
        </w:tc>
        <w:tc>
          <w:tcPr>
            <w:tcW w:w="114" w:type="dxa"/>
            <w:tcBorders/>
            <w:vAlign w:val="bottom"/>
          </w:tcPr>
          <w:p>
            <w:pPr>
              <w:pStyle w:val="TableContents"/>
              <w:bidi w:val="0"/>
              <w:spacing w:before="0" w:after="283"/>
              <w:jc w:val="left"/>
              <w:rPr/>
            </w:pPr>
            <w:r>
              <w:rPr/>
              <w:t> </w:t>
            </w:r>
          </w:p>
        </w:tc>
        <w:tc>
          <w:tcPr>
            <w:tcW w:w="7409" w:type="dxa"/>
            <w:tcBorders/>
          </w:tcPr>
          <w:p>
            <w:pPr>
              <w:pStyle w:val="TableContents"/>
              <w:bidi w:val="0"/>
              <w:spacing w:before="0" w:after="0"/>
              <w:jc w:val="left"/>
              <w:rPr>
                <w:rFonts w:ascii="Times New Roman" w:hAnsi="Times New Roman"/>
                <w:b/>
                <w:sz w:val="20"/>
              </w:rPr>
            </w:pPr>
            <w:r>
              <w:rPr>
                <w:rFonts w:ascii="Times New Roman" w:hAnsi="Times New Roman"/>
                <w:b/>
                <w:sz w:val="20"/>
              </w:rPr>
              <w:t>Taxes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right"/>
              <w:rPr/>
            </w:pPr>
            <w:r>
              <w:rPr>
                <w:strike/>
                <w:color w:val="FF0000"/>
              </w:rPr>
              <w:t>71</w:t>
            </w:r>
            <w:r>
              <w:rPr>
                <w:color w:val="0000FF"/>
                <w:u w:val="single"/>
                <w:bdr w:val="double" w:sz="2" w:space="1" w:color="000000"/>
              </w:rPr>
              <w:t>73</w:t>
            </w:r>
          </w:p>
        </w:tc>
        <w:tc>
          <w:tcPr>
            <w:tcW w:w="64" w:type="dxa"/>
            <w:tcBorders/>
            <w:vAlign w:val="bottom"/>
          </w:tcPr>
          <w:p>
            <w:pPr>
              <w:pStyle w:val="TableContents"/>
              <w:bidi w:val="0"/>
              <w:spacing w:before="0" w:after="283"/>
              <w:jc w:val="left"/>
              <w:rPr/>
            </w:pPr>
            <w:r>
              <w:rPr/>
              <w:t> </w:t>
            </w:r>
          </w:p>
        </w:tc>
      </w:tr>
      <w:tr>
        <w:trPr/>
        <w:tc>
          <w:tcPr>
            <w:tcW w:w="1901" w:type="dxa"/>
            <w:tcBorders/>
          </w:tcPr>
          <w:p>
            <w:pPr>
              <w:pStyle w:val="TableContents"/>
              <w:bidi w:val="0"/>
              <w:spacing w:before="0" w:after="0"/>
              <w:jc w:val="left"/>
              <w:rPr>
                <w:rFonts w:ascii="Times New Roman" w:hAnsi="Times New Roman"/>
                <w:sz w:val="20"/>
              </w:rPr>
            </w:pPr>
            <w:r>
              <w:rPr>
                <w:rFonts w:ascii="Times New Roman" w:hAnsi="Times New Roman"/>
                <w:sz w:val="20"/>
              </w:rPr>
              <w:t>SECTION 4.04</w:t>
            </w:r>
          </w:p>
        </w:tc>
        <w:tc>
          <w:tcPr>
            <w:tcW w:w="114" w:type="dxa"/>
            <w:tcBorders/>
            <w:vAlign w:val="bottom"/>
          </w:tcPr>
          <w:p>
            <w:pPr>
              <w:pStyle w:val="TableContents"/>
              <w:bidi w:val="0"/>
              <w:spacing w:before="0" w:after="283"/>
              <w:jc w:val="left"/>
              <w:rPr/>
            </w:pPr>
            <w:r>
              <w:rPr/>
              <w:t> </w:t>
            </w:r>
          </w:p>
        </w:tc>
        <w:tc>
          <w:tcPr>
            <w:tcW w:w="7409" w:type="dxa"/>
            <w:tcBorders/>
          </w:tcPr>
          <w:p>
            <w:pPr>
              <w:pStyle w:val="TableContents"/>
              <w:bidi w:val="0"/>
              <w:spacing w:before="0" w:after="0"/>
              <w:jc w:val="left"/>
              <w:rPr>
                <w:rFonts w:ascii="Times New Roman" w:hAnsi="Times New Roman"/>
                <w:b/>
                <w:sz w:val="20"/>
              </w:rPr>
            </w:pPr>
            <w:r>
              <w:rPr>
                <w:rFonts w:ascii="Times New Roman" w:hAnsi="Times New Roman"/>
                <w:b/>
                <w:sz w:val="20"/>
              </w:rPr>
              <w:t>Designation of a Different Lending Office</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right"/>
              <w:rPr/>
            </w:pPr>
            <w:r>
              <w:rPr>
                <w:strike/>
                <w:color w:val="FF0000"/>
              </w:rPr>
              <w:t>76</w:t>
            </w:r>
            <w:r>
              <w:rPr>
                <w:color w:val="0000FF"/>
                <w:u w:val="single"/>
                <w:bdr w:val="double" w:sz="2" w:space="1" w:color="000000"/>
              </w:rPr>
              <w:t>77</w:t>
            </w:r>
          </w:p>
        </w:tc>
        <w:tc>
          <w:tcPr>
            <w:tcW w:w="64" w:type="dxa"/>
            <w:tcBorders/>
            <w:vAlign w:val="bottom"/>
          </w:tcPr>
          <w:p>
            <w:pPr>
              <w:pStyle w:val="TableContents"/>
              <w:bidi w:val="0"/>
              <w:spacing w:before="0" w:after="283"/>
              <w:jc w:val="left"/>
              <w:rPr/>
            </w:pPr>
            <w:r>
              <w:rPr/>
              <w:t> </w:t>
            </w:r>
          </w:p>
        </w:tc>
      </w:tr>
      <w:tr>
        <w:trPr>
          <w:trHeight w:val="120" w:hRule="atLeast"/>
        </w:trPr>
        <w:tc>
          <w:tcPr>
            <w:tcW w:w="9424" w:type="dxa"/>
            <w:gridSpan w:val="3"/>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r>
      <w:tr>
        <w:trPr/>
        <w:tc>
          <w:tcPr>
            <w:tcW w:w="9424"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V CONDITIONS TO EFFECTIVENESS AND CREDIT EXTENSIONS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right"/>
              <w:rPr>
                <w:b/>
              </w:rPr>
            </w:pPr>
            <w:r>
              <w:rPr>
                <w:b/>
                <w:strike/>
                <w:color w:val="FF0000"/>
              </w:rPr>
              <w:t>76</w:t>
            </w:r>
            <w:r>
              <w:rPr>
                <w:b/>
                <w:color w:val="0000FF"/>
                <w:u w:val="single"/>
                <w:bdr w:val="double" w:sz="2" w:space="1" w:color="000000"/>
              </w:rPr>
              <w:t>78</w:t>
            </w:r>
          </w:p>
        </w:tc>
        <w:tc>
          <w:tcPr>
            <w:tcW w:w="64" w:type="dxa"/>
            <w:tcBorders/>
            <w:vAlign w:val="bottom"/>
          </w:tcPr>
          <w:p>
            <w:pPr>
              <w:pStyle w:val="TableContents"/>
              <w:bidi w:val="0"/>
              <w:spacing w:before="0" w:after="283"/>
              <w:jc w:val="left"/>
              <w:rPr/>
            </w:pPr>
            <w:r>
              <w:rPr/>
              <w:t> </w:t>
            </w:r>
          </w:p>
        </w:tc>
      </w:tr>
      <w:tr>
        <w:trPr>
          <w:trHeight w:val="120" w:hRule="atLeast"/>
        </w:trPr>
        <w:tc>
          <w:tcPr>
            <w:tcW w:w="1901" w:type="dxa"/>
            <w:tcBorders/>
            <w:vAlign w:val="center"/>
          </w:tcPr>
          <w:p>
            <w:pPr>
              <w:pStyle w:val="TableContents"/>
              <w:bidi w:val="0"/>
              <w:spacing w:before="0" w:after="283"/>
              <w:jc w:val="left"/>
              <w:rPr>
                <w:sz w:val="4"/>
                <w:szCs w:val="4"/>
              </w:rPr>
            </w:pPr>
            <w:r>
              <w:rPr>
                <w:sz w:val="4"/>
                <w:szCs w:val="4"/>
              </w:rPr>
            </w:r>
          </w:p>
        </w:tc>
        <w:tc>
          <w:tcPr>
            <w:tcW w:w="7523" w:type="dxa"/>
            <w:gridSpan w:val="2"/>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r>
      <w:tr>
        <w:trPr/>
        <w:tc>
          <w:tcPr>
            <w:tcW w:w="1901"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114" w:type="dxa"/>
            <w:tcBorders/>
            <w:vAlign w:val="bottom"/>
          </w:tcPr>
          <w:p>
            <w:pPr>
              <w:pStyle w:val="TableContents"/>
              <w:bidi w:val="0"/>
              <w:spacing w:before="0" w:after="283"/>
              <w:jc w:val="left"/>
              <w:rPr/>
            </w:pPr>
            <w:r>
              <w:rPr/>
              <w:t> </w:t>
            </w:r>
          </w:p>
        </w:tc>
        <w:tc>
          <w:tcPr>
            <w:tcW w:w="7409" w:type="dxa"/>
            <w:tcBorders/>
          </w:tcPr>
          <w:p>
            <w:pPr>
              <w:pStyle w:val="TableContents"/>
              <w:bidi w:val="0"/>
              <w:spacing w:before="0" w:after="0"/>
              <w:jc w:val="left"/>
              <w:rPr>
                <w:rFonts w:ascii="Times New Roman" w:hAnsi="Times New Roman"/>
                <w:b/>
                <w:sz w:val="20"/>
              </w:rPr>
            </w:pPr>
            <w:r>
              <w:rPr>
                <w:rFonts w:ascii="Times New Roman" w:hAnsi="Times New Roman"/>
                <w:b/>
                <w:sz w:val="20"/>
              </w:rPr>
              <w:t>Conditions Precedent to Effectiveness and the Initial Credit Extension</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right"/>
              <w:rPr/>
            </w:pPr>
            <w:r>
              <w:rPr>
                <w:strike/>
                <w:color w:val="FF0000"/>
              </w:rPr>
              <w:t>76</w:t>
            </w:r>
            <w:r>
              <w:rPr>
                <w:color w:val="0000FF"/>
                <w:u w:val="single"/>
                <w:bdr w:val="double" w:sz="2" w:space="1" w:color="000000"/>
              </w:rPr>
              <w:t>78</w:t>
            </w:r>
          </w:p>
        </w:tc>
        <w:tc>
          <w:tcPr>
            <w:tcW w:w="64" w:type="dxa"/>
            <w:tcBorders/>
            <w:vAlign w:val="bottom"/>
          </w:tcPr>
          <w:p>
            <w:pPr>
              <w:pStyle w:val="TableContents"/>
              <w:bidi w:val="0"/>
              <w:spacing w:before="0" w:after="283"/>
              <w:jc w:val="left"/>
              <w:rPr/>
            </w:pPr>
            <w:r>
              <w:rPr/>
              <w:t> </w:t>
            </w:r>
          </w:p>
        </w:tc>
      </w:tr>
      <w:tr>
        <w:trPr/>
        <w:tc>
          <w:tcPr>
            <w:tcW w:w="1901"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114" w:type="dxa"/>
            <w:tcBorders/>
            <w:vAlign w:val="bottom"/>
          </w:tcPr>
          <w:p>
            <w:pPr>
              <w:pStyle w:val="TableContents"/>
              <w:bidi w:val="0"/>
              <w:spacing w:before="0" w:after="283"/>
              <w:jc w:val="left"/>
              <w:rPr/>
            </w:pPr>
            <w:r>
              <w:rPr/>
              <w:t> </w:t>
            </w:r>
          </w:p>
        </w:tc>
        <w:tc>
          <w:tcPr>
            <w:tcW w:w="7409" w:type="dxa"/>
            <w:tcBorders/>
          </w:tcPr>
          <w:p>
            <w:pPr>
              <w:pStyle w:val="TableContents"/>
              <w:bidi w:val="0"/>
              <w:spacing w:before="0" w:after="0"/>
              <w:jc w:val="left"/>
              <w:rPr>
                <w:rFonts w:ascii="Times New Roman" w:hAnsi="Times New Roman"/>
                <w:b/>
                <w:sz w:val="20"/>
              </w:rPr>
            </w:pPr>
            <w:r>
              <w:rPr>
                <w:rFonts w:ascii="Times New Roman" w:hAnsi="Times New Roman"/>
                <w:b/>
                <w:sz w:val="20"/>
              </w:rPr>
              <w:t>Conditions Precedent to All Class A Loans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right"/>
              <w:rPr/>
            </w:pPr>
            <w:r>
              <w:rPr>
                <w:strike/>
                <w:color w:val="FF0000"/>
              </w:rPr>
              <w:t>76</w:t>
            </w:r>
            <w:r>
              <w:rPr>
                <w:color w:val="0000FF"/>
                <w:u w:val="single"/>
                <w:bdr w:val="double" w:sz="2" w:space="1" w:color="000000"/>
              </w:rPr>
              <w:t>78</w:t>
            </w:r>
          </w:p>
        </w:tc>
        <w:tc>
          <w:tcPr>
            <w:tcW w:w="64" w:type="dxa"/>
            <w:tcBorders/>
            <w:vAlign w:val="bottom"/>
          </w:tcPr>
          <w:p>
            <w:pPr>
              <w:pStyle w:val="TableContents"/>
              <w:bidi w:val="0"/>
              <w:spacing w:before="0" w:after="283"/>
              <w:jc w:val="left"/>
              <w:rPr/>
            </w:pPr>
            <w:r>
              <w:rPr/>
              <w:t> </w:t>
            </w:r>
          </w:p>
        </w:tc>
      </w:tr>
      <w:tr>
        <w:trPr/>
        <w:tc>
          <w:tcPr>
            <w:tcW w:w="1901"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114" w:type="dxa"/>
            <w:tcBorders/>
            <w:vAlign w:val="bottom"/>
          </w:tcPr>
          <w:p>
            <w:pPr>
              <w:pStyle w:val="TableContents"/>
              <w:bidi w:val="0"/>
              <w:spacing w:before="0" w:after="283"/>
              <w:jc w:val="left"/>
              <w:rPr/>
            </w:pPr>
            <w:r>
              <w:rPr/>
              <w:t> </w:t>
            </w:r>
          </w:p>
        </w:tc>
        <w:tc>
          <w:tcPr>
            <w:tcW w:w="7409" w:type="dxa"/>
            <w:tcBorders/>
          </w:tcPr>
          <w:p>
            <w:pPr>
              <w:pStyle w:val="TableContents"/>
              <w:bidi w:val="0"/>
              <w:spacing w:before="0" w:after="0"/>
              <w:jc w:val="left"/>
              <w:rPr>
                <w:rFonts w:ascii="Times New Roman" w:hAnsi="Times New Roman"/>
                <w:b/>
                <w:sz w:val="20"/>
              </w:rPr>
            </w:pPr>
            <w:r>
              <w:rPr>
                <w:rFonts w:ascii="Times New Roman" w:hAnsi="Times New Roman"/>
                <w:b/>
                <w:sz w:val="20"/>
              </w:rPr>
              <w:t>Conditions Precedent to All Releases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right"/>
              <w:rPr/>
            </w:pPr>
            <w:r>
              <w:rPr>
                <w:strike/>
                <w:color w:val="FF0000"/>
              </w:rPr>
              <w:t>77</w:t>
            </w:r>
            <w:r>
              <w:rPr>
                <w:color w:val="0000FF"/>
                <w:u w:val="single"/>
                <w:bdr w:val="double" w:sz="2" w:space="1" w:color="000000"/>
              </w:rPr>
              <w:t>79</w:t>
            </w:r>
          </w:p>
        </w:tc>
        <w:tc>
          <w:tcPr>
            <w:tcW w:w="64" w:type="dxa"/>
            <w:tcBorders/>
            <w:vAlign w:val="bottom"/>
          </w:tcPr>
          <w:p>
            <w:pPr>
              <w:pStyle w:val="TableContents"/>
              <w:bidi w:val="0"/>
              <w:spacing w:before="0" w:after="283"/>
              <w:jc w:val="left"/>
              <w:rPr/>
            </w:pPr>
            <w:r>
              <w:rPr/>
              <w:t> </w:t>
            </w:r>
          </w:p>
        </w:tc>
      </w:tr>
      <w:tr>
        <w:trPr>
          <w:trHeight w:val="120" w:hRule="atLeast"/>
        </w:trPr>
        <w:tc>
          <w:tcPr>
            <w:tcW w:w="9424" w:type="dxa"/>
            <w:gridSpan w:val="3"/>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r>
      <w:tr>
        <w:trPr/>
        <w:tc>
          <w:tcPr>
            <w:tcW w:w="9424"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VI REPRESENTATIONS AND WARRANTIES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right"/>
              <w:rPr>
                <w:b/>
              </w:rPr>
            </w:pPr>
            <w:r>
              <w:rPr>
                <w:b/>
                <w:strike/>
                <w:color w:val="FF0000"/>
              </w:rPr>
              <w:t>78</w:t>
            </w:r>
            <w:r>
              <w:rPr>
                <w:b/>
                <w:color w:val="0000FF"/>
                <w:u w:val="single"/>
                <w:bdr w:val="double" w:sz="2" w:space="1" w:color="000000"/>
              </w:rPr>
              <w:t>80</w:t>
            </w:r>
          </w:p>
        </w:tc>
        <w:tc>
          <w:tcPr>
            <w:tcW w:w="64" w:type="dxa"/>
            <w:tcBorders/>
            <w:vAlign w:val="bottom"/>
          </w:tcPr>
          <w:p>
            <w:pPr>
              <w:pStyle w:val="TableContents"/>
              <w:bidi w:val="0"/>
              <w:spacing w:before="0" w:after="283"/>
              <w:jc w:val="left"/>
              <w:rPr/>
            </w:pPr>
            <w:r>
              <w:rPr/>
              <w:t> </w:t>
            </w:r>
          </w:p>
        </w:tc>
      </w:tr>
      <w:tr>
        <w:trPr>
          <w:trHeight w:val="120" w:hRule="atLeast"/>
        </w:trPr>
        <w:tc>
          <w:tcPr>
            <w:tcW w:w="1901" w:type="dxa"/>
            <w:tcBorders/>
            <w:vAlign w:val="center"/>
          </w:tcPr>
          <w:p>
            <w:pPr>
              <w:pStyle w:val="TableContents"/>
              <w:bidi w:val="0"/>
              <w:spacing w:before="0" w:after="283"/>
              <w:jc w:val="left"/>
              <w:rPr>
                <w:sz w:val="4"/>
                <w:szCs w:val="4"/>
              </w:rPr>
            </w:pPr>
            <w:r>
              <w:rPr>
                <w:sz w:val="4"/>
                <w:szCs w:val="4"/>
              </w:rPr>
            </w:r>
          </w:p>
        </w:tc>
        <w:tc>
          <w:tcPr>
            <w:tcW w:w="7523" w:type="dxa"/>
            <w:gridSpan w:val="2"/>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r>
      <w:tr>
        <w:trPr/>
        <w:tc>
          <w:tcPr>
            <w:tcW w:w="1901"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114" w:type="dxa"/>
            <w:tcBorders/>
            <w:vAlign w:val="bottom"/>
          </w:tcPr>
          <w:p>
            <w:pPr>
              <w:pStyle w:val="TableContents"/>
              <w:bidi w:val="0"/>
              <w:spacing w:before="0" w:after="283"/>
              <w:jc w:val="left"/>
              <w:rPr/>
            </w:pPr>
            <w:r>
              <w:rPr/>
              <w:t> </w:t>
            </w:r>
          </w:p>
        </w:tc>
        <w:tc>
          <w:tcPr>
            <w:tcW w:w="7409" w:type="dxa"/>
            <w:tcBorders/>
          </w:tcPr>
          <w:p>
            <w:pPr>
              <w:pStyle w:val="TableContents"/>
              <w:bidi w:val="0"/>
              <w:spacing w:before="0" w:after="0"/>
              <w:jc w:val="left"/>
              <w:rPr>
                <w:rFonts w:ascii="Times New Roman" w:hAnsi="Times New Roman"/>
                <w:b/>
                <w:sz w:val="20"/>
              </w:rPr>
            </w:pPr>
            <w:r>
              <w:rPr>
                <w:rFonts w:ascii="Times New Roman" w:hAnsi="Times New Roman"/>
                <w:b/>
                <w:sz w:val="20"/>
              </w:rPr>
              <w:t>Representations and Warranties of the Borrower</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right"/>
              <w:rPr/>
            </w:pPr>
            <w:r>
              <w:rPr>
                <w:strike/>
                <w:color w:val="FF0000"/>
              </w:rPr>
              <w:t>78</w:t>
            </w:r>
            <w:r>
              <w:rPr>
                <w:color w:val="0000FF"/>
                <w:u w:val="single"/>
                <w:bdr w:val="double" w:sz="2" w:space="1" w:color="000000"/>
              </w:rPr>
              <w:t>80</w:t>
            </w:r>
          </w:p>
        </w:tc>
        <w:tc>
          <w:tcPr>
            <w:tcW w:w="64" w:type="dxa"/>
            <w:tcBorders/>
            <w:vAlign w:val="bottom"/>
          </w:tcPr>
          <w:p>
            <w:pPr>
              <w:pStyle w:val="TableContents"/>
              <w:bidi w:val="0"/>
              <w:spacing w:before="0" w:after="283"/>
              <w:jc w:val="left"/>
              <w:rPr/>
            </w:pPr>
            <w:r>
              <w:rPr/>
              <w:t> </w:t>
            </w:r>
          </w:p>
        </w:tc>
      </w:tr>
      <w:tr>
        <w:trPr/>
        <w:tc>
          <w:tcPr>
            <w:tcW w:w="1901"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114" w:type="dxa"/>
            <w:tcBorders/>
            <w:vAlign w:val="bottom"/>
          </w:tcPr>
          <w:p>
            <w:pPr>
              <w:pStyle w:val="TableContents"/>
              <w:bidi w:val="0"/>
              <w:spacing w:before="0" w:after="283"/>
              <w:jc w:val="left"/>
              <w:rPr/>
            </w:pPr>
            <w:r>
              <w:rPr/>
              <w:t> </w:t>
            </w:r>
          </w:p>
        </w:tc>
        <w:tc>
          <w:tcPr>
            <w:tcW w:w="7409" w:type="dxa"/>
            <w:tcBorders/>
          </w:tcPr>
          <w:p>
            <w:pPr>
              <w:pStyle w:val="TableContents"/>
              <w:bidi w:val="0"/>
              <w:spacing w:before="0" w:after="0"/>
              <w:jc w:val="left"/>
              <w:rPr>
                <w:rFonts w:ascii="Times New Roman" w:hAnsi="Times New Roman"/>
                <w:b/>
                <w:sz w:val="20"/>
              </w:rPr>
            </w:pPr>
            <w:r>
              <w:rPr>
                <w:rFonts w:ascii="Times New Roman" w:hAnsi="Times New Roman"/>
                <w:b/>
                <w:sz w:val="20"/>
              </w:rPr>
              <w:t>Representations and Warranties of the Servicers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right"/>
              <w:rPr/>
            </w:pPr>
            <w:r>
              <w:rPr>
                <w:strike/>
                <w:color w:val="FF0000"/>
              </w:rPr>
              <w:t>84</w:t>
            </w:r>
            <w:r>
              <w:rPr>
                <w:color w:val="0000FF"/>
                <w:u w:val="single"/>
                <w:bdr w:val="double" w:sz="2" w:space="1" w:color="000000"/>
              </w:rPr>
              <w:t>86</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08"/>
        <w:gridCol w:w="66"/>
        <w:gridCol w:w="7745"/>
        <w:gridCol w:w="122"/>
        <w:gridCol w:w="60"/>
        <w:gridCol w:w="740"/>
        <w:gridCol w:w="64"/>
      </w:tblGrid>
      <w:tr>
        <w:trPr/>
        <w:tc>
          <w:tcPr>
            <w:tcW w:w="1408"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774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219" w:type="dxa"/>
            <w:gridSpan w:val="3"/>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00"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c>
          <w:tcPr>
            <w:tcW w:w="9219"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VII COVENANTS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b/>
              </w:rPr>
            </w:pPr>
            <w:r>
              <w:rPr>
                <w:b/>
                <w:strike/>
                <w:color w:val="FF0000"/>
              </w:rPr>
              <w:t>88</w:t>
            </w:r>
            <w:r>
              <w:rPr>
                <w:b/>
                <w:color w:val="0000FF"/>
                <w:u w:val="single"/>
                <w:bdr w:val="double" w:sz="2" w:space="1" w:color="000000"/>
              </w:rPr>
              <w:t>90</w:t>
            </w:r>
          </w:p>
        </w:tc>
        <w:tc>
          <w:tcPr>
            <w:tcW w:w="64" w:type="dxa"/>
            <w:tcBorders/>
            <w:vAlign w:val="bottom"/>
          </w:tcPr>
          <w:p>
            <w:pPr>
              <w:pStyle w:val="TableContents"/>
              <w:bidi w:val="0"/>
              <w:spacing w:before="0" w:after="283"/>
              <w:jc w:val="left"/>
              <w:rPr/>
            </w:pPr>
            <w:r>
              <w:rPr/>
              <w:t> </w:t>
            </w:r>
          </w:p>
        </w:tc>
      </w:tr>
      <w:tr>
        <w:trPr>
          <w:trHeight w:val="120" w:hRule="atLeast"/>
        </w:trPr>
        <w:tc>
          <w:tcPr>
            <w:tcW w:w="1408" w:type="dxa"/>
            <w:tcBorders/>
            <w:vAlign w:val="center"/>
          </w:tcPr>
          <w:p>
            <w:pPr>
              <w:pStyle w:val="TableContents"/>
              <w:bidi w:val="0"/>
              <w:spacing w:before="0" w:after="283"/>
              <w:jc w:val="left"/>
              <w:rPr>
                <w:sz w:val="4"/>
                <w:szCs w:val="4"/>
              </w:rPr>
            </w:pPr>
            <w:r>
              <w:rPr>
                <w:sz w:val="4"/>
                <w:szCs w:val="4"/>
              </w:rPr>
            </w:r>
          </w:p>
        </w:tc>
        <w:tc>
          <w:tcPr>
            <w:tcW w:w="7811" w:type="dxa"/>
            <w:gridSpan w:val="2"/>
            <w:tcBorders/>
            <w:vAlign w:val="center"/>
          </w:tcPr>
          <w:p>
            <w:pPr>
              <w:pStyle w:val="TableContents"/>
              <w:bidi w:val="0"/>
              <w:spacing w:before="0" w:after="283"/>
              <w:jc w:val="left"/>
              <w:rPr>
                <w:sz w:val="4"/>
                <w:szCs w:val="4"/>
              </w:rPr>
            </w:pPr>
            <w:r>
              <w:rPr>
                <w:sz w:val="4"/>
                <w:szCs w:val="4"/>
              </w:rPr>
            </w:r>
          </w:p>
        </w:tc>
        <w:tc>
          <w:tcPr>
            <w:tcW w:w="986" w:type="dxa"/>
            <w:gridSpan w:val="4"/>
            <w:tcBorders/>
            <w:vAlign w:val="center"/>
          </w:tcPr>
          <w:p>
            <w:pPr>
              <w:pStyle w:val="TableContents"/>
              <w:bidi w:val="0"/>
              <w:spacing w:before="0" w:after="283"/>
              <w:jc w:val="left"/>
              <w:rPr>
                <w:sz w:val="4"/>
                <w:szCs w:val="4"/>
              </w:rPr>
            </w:pPr>
            <w:r>
              <w:rPr>
                <w:sz w:val="4"/>
                <w:szCs w:val="4"/>
              </w:rPr>
            </w:r>
          </w:p>
        </w:tc>
      </w:tr>
      <w:tr>
        <w:trPr/>
        <w:tc>
          <w:tcPr>
            <w:tcW w:w="1408"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66" w:type="dxa"/>
            <w:tcBorders/>
            <w:vAlign w:val="bottom"/>
          </w:tcPr>
          <w:p>
            <w:pPr>
              <w:pStyle w:val="TableContents"/>
              <w:bidi w:val="0"/>
              <w:spacing w:before="0" w:after="283"/>
              <w:jc w:val="left"/>
              <w:rPr/>
            </w:pPr>
            <w:r>
              <w:rPr/>
              <w:t> </w:t>
            </w:r>
          </w:p>
        </w:tc>
        <w:tc>
          <w:tcPr>
            <w:tcW w:w="7745" w:type="dxa"/>
            <w:tcBorders/>
            <w:vAlign w:val="bottom"/>
          </w:tcPr>
          <w:p>
            <w:pPr>
              <w:pStyle w:val="TableContents"/>
              <w:bidi w:val="0"/>
              <w:spacing w:before="0" w:after="283"/>
              <w:jc w:val="left"/>
              <w:rPr>
                <w:b/>
              </w:rPr>
            </w:pPr>
            <w:r>
              <w:rPr>
                <w:b/>
              </w:rPr>
              <w:t>Covenants of the Borrower</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88</w:t>
            </w:r>
            <w:r>
              <w:rPr>
                <w:color w:val="0000FF"/>
                <w:u w:val="single"/>
                <w:bdr w:val="double" w:sz="2" w:space="1" w:color="000000"/>
              </w:rPr>
              <w:t>90</w:t>
            </w:r>
          </w:p>
        </w:tc>
        <w:tc>
          <w:tcPr>
            <w:tcW w:w="64" w:type="dxa"/>
            <w:tcBorders/>
            <w:vAlign w:val="bottom"/>
          </w:tcPr>
          <w:p>
            <w:pPr>
              <w:pStyle w:val="TableContents"/>
              <w:bidi w:val="0"/>
              <w:spacing w:before="0" w:after="283"/>
              <w:jc w:val="left"/>
              <w:rPr/>
            </w:pPr>
            <w:r>
              <w:rPr/>
              <w:t> </w:t>
            </w:r>
          </w:p>
        </w:tc>
      </w:tr>
      <w:tr>
        <w:trPr/>
        <w:tc>
          <w:tcPr>
            <w:tcW w:w="1408"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66" w:type="dxa"/>
            <w:tcBorders/>
            <w:vAlign w:val="bottom"/>
          </w:tcPr>
          <w:p>
            <w:pPr>
              <w:pStyle w:val="TableContents"/>
              <w:bidi w:val="0"/>
              <w:spacing w:before="0" w:after="283"/>
              <w:jc w:val="left"/>
              <w:rPr/>
            </w:pPr>
            <w:r>
              <w:rPr/>
              <w:t> </w:t>
            </w:r>
          </w:p>
        </w:tc>
        <w:tc>
          <w:tcPr>
            <w:tcW w:w="7745" w:type="dxa"/>
            <w:tcBorders/>
            <w:vAlign w:val="bottom"/>
          </w:tcPr>
          <w:p>
            <w:pPr>
              <w:pStyle w:val="TableContents"/>
              <w:bidi w:val="0"/>
              <w:spacing w:before="0" w:after="283"/>
              <w:jc w:val="left"/>
              <w:rPr>
                <w:b/>
              </w:rPr>
            </w:pPr>
            <w:r>
              <w:rPr>
                <w:b/>
              </w:rPr>
              <w:t>Covenants of the Servicers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98</w:t>
            </w:r>
            <w:r>
              <w:rPr>
                <w:color w:val="0000FF"/>
                <w:u w:val="single"/>
                <w:bdr w:val="double" w:sz="2" w:space="1" w:color="000000"/>
              </w:rPr>
              <w:t>101</w:t>
            </w:r>
          </w:p>
        </w:tc>
        <w:tc>
          <w:tcPr>
            <w:tcW w:w="64" w:type="dxa"/>
            <w:tcBorders/>
            <w:vAlign w:val="bottom"/>
          </w:tcPr>
          <w:p>
            <w:pPr>
              <w:pStyle w:val="TableContents"/>
              <w:bidi w:val="0"/>
              <w:spacing w:before="0" w:after="283"/>
              <w:jc w:val="left"/>
              <w:rPr/>
            </w:pPr>
            <w:r>
              <w:rPr/>
              <w:t> </w:t>
            </w:r>
          </w:p>
        </w:tc>
      </w:tr>
      <w:tr>
        <w:trPr/>
        <w:tc>
          <w:tcPr>
            <w:tcW w:w="1408"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66" w:type="dxa"/>
            <w:tcBorders/>
            <w:vAlign w:val="bottom"/>
          </w:tcPr>
          <w:p>
            <w:pPr>
              <w:pStyle w:val="TableContents"/>
              <w:bidi w:val="0"/>
              <w:spacing w:before="0" w:after="283"/>
              <w:jc w:val="left"/>
              <w:rPr/>
            </w:pPr>
            <w:r>
              <w:rPr/>
              <w:t> </w:t>
            </w:r>
          </w:p>
        </w:tc>
        <w:tc>
          <w:tcPr>
            <w:tcW w:w="7745" w:type="dxa"/>
            <w:tcBorders/>
            <w:vAlign w:val="bottom"/>
          </w:tcPr>
          <w:p>
            <w:pPr>
              <w:pStyle w:val="TableContents"/>
              <w:bidi w:val="0"/>
              <w:spacing w:before="0" w:after="283"/>
              <w:jc w:val="left"/>
              <w:rPr>
                <w:b/>
              </w:rPr>
            </w:pPr>
            <w:r>
              <w:rPr>
                <w:b/>
              </w:rPr>
              <w:t>Separate Existence of the Borrower</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104</w:t>
            </w:r>
            <w:r>
              <w:rPr>
                <w:color w:val="0000FF"/>
                <w:u w:val="single"/>
                <w:bdr w:val="double" w:sz="2" w:space="1" w:color="000000"/>
              </w:rPr>
              <w:t>107</w:t>
            </w:r>
          </w:p>
        </w:tc>
        <w:tc>
          <w:tcPr>
            <w:tcW w:w="64" w:type="dxa"/>
            <w:tcBorders/>
            <w:vAlign w:val="bottom"/>
          </w:tcPr>
          <w:p>
            <w:pPr>
              <w:pStyle w:val="TableContents"/>
              <w:bidi w:val="0"/>
              <w:spacing w:before="0" w:after="283"/>
              <w:jc w:val="left"/>
              <w:rPr/>
            </w:pPr>
            <w:r>
              <w:rPr/>
              <w:t> </w:t>
            </w:r>
          </w:p>
        </w:tc>
      </w:tr>
      <w:tr>
        <w:trPr>
          <w:trHeight w:val="120" w:hRule="atLeast"/>
        </w:trPr>
        <w:tc>
          <w:tcPr>
            <w:tcW w:w="9219" w:type="dxa"/>
            <w:gridSpan w:val="3"/>
            <w:tcBorders/>
            <w:vAlign w:val="center"/>
          </w:tcPr>
          <w:p>
            <w:pPr>
              <w:pStyle w:val="TableContents"/>
              <w:bidi w:val="0"/>
              <w:spacing w:before="0" w:after="283"/>
              <w:jc w:val="left"/>
              <w:rPr>
                <w:sz w:val="4"/>
                <w:szCs w:val="4"/>
              </w:rPr>
            </w:pPr>
            <w:r>
              <w:rPr>
                <w:sz w:val="4"/>
                <w:szCs w:val="4"/>
              </w:rPr>
            </w:r>
          </w:p>
        </w:tc>
        <w:tc>
          <w:tcPr>
            <w:tcW w:w="986" w:type="dxa"/>
            <w:gridSpan w:val="4"/>
            <w:tcBorders/>
            <w:vAlign w:val="center"/>
          </w:tcPr>
          <w:p>
            <w:pPr>
              <w:pStyle w:val="TableContents"/>
              <w:bidi w:val="0"/>
              <w:spacing w:before="0" w:after="283"/>
              <w:jc w:val="left"/>
              <w:rPr>
                <w:sz w:val="4"/>
                <w:szCs w:val="4"/>
              </w:rPr>
            </w:pPr>
            <w:r>
              <w:rPr>
                <w:sz w:val="4"/>
                <w:szCs w:val="4"/>
              </w:rPr>
            </w:r>
          </w:p>
        </w:tc>
      </w:tr>
      <w:tr>
        <w:trPr/>
        <w:tc>
          <w:tcPr>
            <w:tcW w:w="9219"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VIII ADMINISTRATION AND COLLECTION OF RECEIVABLES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b/>
              </w:rPr>
            </w:pPr>
            <w:r>
              <w:rPr>
                <w:b/>
                <w:strike/>
                <w:color w:val="FF0000"/>
              </w:rPr>
              <w:t>108</w:t>
            </w:r>
            <w:r>
              <w:rPr>
                <w:b/>
                <w:color w:val="0000FF"/>
                <w:u w:val="single"/>
                <w:bdr w:val="double" w:sz="2" w:space="1" w:color="000000"/>
              </w:rPr>
              <w:t>110</w:t>
            </w:r>
          </w:p>
        </w:tc>
        <w:tc>
          <w:tcPr>
            <w:tcW w:w="64" w:type="dxa"/>
            <w:tcBorders/>
            <w:vAlign w:val="bottom"/>
          </w:tcPr>
          <w:p>
            <w:pPr>
              <w:pStyle w:val="TableContents"/>
              <w:bidi w:val="0"/>
              <w:spacing w:before="0" w:after="283"/>
              <w:jc w:val="left"/>
              <w:rPr/>
            </w:pPr>
            <w:r>
              <w:rPr/>
              <w:t> </w:t>
            </w:r>
          </w:p>
        </w:tc>
      </w:tr>
      <w:tr>
        <w:trPr>
          <w:trHeight w:val="120" w:hRule="atLeast"/>
        </w:trPr>
        <w:tc>
          <w:tcPr>
            <w:tcW w:w="1408" w:type="dxa"/>
            <w:tcBorders/>
            <w:vAlign w:val="center"/>
          </w:tcPr>
          <w:p>
            <w:pPr>
              <w:pStyle w:val="TableContents"/>
              <w:bidi w:val="0"/>
              <w:spacing w:before="0" w:after="283"/>
              <w:jc w:val="left"/>
              <w:rPr>
                <w:sz w:val="4"/>
                <w:szCs w:val="4"/>
              </w:rPr>
            </w:pPr>
            <w:r>
              <w:rPr>
                <w:sz w:val="4"/>
                <w:szCs w:val="4"/>
              </w:rPr>
            </w:r>
          </w:p>
        </w:tc>
        <w:tc>
          <w:tcPr>
            <w:tcW w:w="7811" w:type="dxa"/>
            <w:gridSpan w:val="2"/>
            <w:tcBorders/>
            <w:vAlign w:val="center"/>
          </w:tcPr>
          <w:p>
            <w:pPr>
              <w:pStyle w:val="TableContents"/>
              <w:bidi w:val="0"/>
              <w:spacing w:before="0" w:after="283"/>
              <w:jc w:val="left"/>
              <w:rPr>
                <w:sz w:val="4"/>
                <w:szCs w:val="4"/>
              </w:rPr>
            </w:pPr>
            <w:r>
              <w:rPr>
                <w:sz w:val="4"/>
                <w:szCs w:val="4"/>
              </w:rPr>
            </w:r>
          </w:p>
        </w:tc>
        <w:tc>
          <w:tcPr>
            <w:tcW w:w="986" w:type="dxa"/>
            <w:gridSpan w:val="4"/>
            <w:tcBorders/>
            <w:vAlign w:val="center"/>
          </w:tcPr>
          <w:p>
            <w:pPr>
              <w:pStyle w:val="TableContents"/>
              <w:bidi w:val="0"/>
              <w:spacing w:before="0" w:after="283"/>
              <w:jc w:val="left"/>
              <w:rPr>
                <w:sz w:val="4"/>
                <w:szCs w:val="4"/>
              </w:rPr>
            </w:pPr>
            <w:r>
              <w:rPr>
                <w:sz w:val="4"/>
                <w:szCs w:val="4"/>
              </w:rPr>
            </w:r>
          </w:p>
        </w:tc>
      </w:tr>
      <w:tr>
        <w:trPr/>
        <w:tc>
          <w:tcPr>
            <w:tcW w:w="1408"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66" w:type="dxa"/>
            <w:tcBorders/>
            <w:vAlign w:val="bottom"/>
          </w:tcPr>
          <w:p>
            <w:pPr>
              <w:pStyle w:val="TableContents"/>
              <w:bidi w:val="0"/>
              <w:spacing w:before="0" w:after="283"/>
              <w:jc w:val="left"/>
              <w:rPr/>
            </w:pPr>
            <w:r>
              <w:rPr/>
              <w:t> </w:t>
            </w:r>
          </w:p>
        </w:tc>
        <w:tc>
          <w:tcPr>
            <w:tcW w:w="7745" w:type="dxa"/>
            <w:tcBorders/>
          </w:tcPr>
          <w:p>
            <w:pPr>
              <w:pStyle w:val="TableContents"/>
              <w:bidi w:val="0"/>
              <w:spacing w:before="0" w:after="0"/>
              <w:jc w:val="left"/>
              <w:rPr>
                <w:rFonts w:ascii="Times New Roman" w:hAnsi="Times New Roman"/>
                <w:b/>
                <w:sz w:val="20"/>
              </w:rPr>
            </w:pPr>
            <w:r>
              <w:rPr>
                <w:rFonts w:ascii="Times New Roman" w:hAnsi="Times New Roman"/>
                <w:b/>
                <w:sz w:val="20"/>
              </w:rPr>
              <w:t>Appointment of the Servicers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108</w:t>
            </w:r>
            <w:r>
              <w:rPr>
                <w:color w:val="0000FF"/>
                <w:u w:val="single"/>
                <w:bdr w:val="double" w:sz="2" w:space="1" w:color="000000"/>
              </w:rPr>
              <w:t>110</w:t>
            </w:r>
          </w:p>
        </w:tc>
        <w:tc>
          <w:tcPr>
            <w:tcW w:w="64" w:type="dxa"/>
            <w:tcBorders/>
            <w:vAlign w:val="bottom"/>
          </w:tcPr>
          <w:p>
            <w:pPr>
              <w:pStyle w:val="TableContents"/>
              <w:bidi w:val="0"/>
              <w:spacing w:before="0" w:after="283"/>
              <w:jc w:val="left"/>
              <w:rPr/>
            </w:pPr>
            <w:r>
              <w:rPr/>
              <w:t> </w:t>
            </w:r>
          </w:p>
        </w:tc>
      </w:tr>
      <w:tr>
        <w:trPr/>
        <w:tc>
          <w:tcPr>
            <w:tcW w:w="1408"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66" w:type="dxa"/>
            <w:tcBorders/>
            <w:vAlign w:val="bottom"/>
          </w:tcPr>
          <w:p>
            <w:pPr>
              <w:pStyle w:val="TableContents"/>
              <w:bidi w:val="0"/>
              <w:spacing w:before="0" w:after="283"/>
              <w:jc w:val="left"/>
              <w:rPr/>
            </w:pPr>
            <w:r>
              <w:rPr/>
              <w:t> </w:t>
            </w:r>
          </w:p>
        </w:tc>
        <w:tc>
          <w:tcPr>
            <w:tcW w:w="7745" w:type="dxa"/>
            <w:tcBorders/>
            <w:vAlign w:val="bottom"/>
          </w:tcPr>
          <w:p>
            <w:pPr>
              <w:pStyle w:val="TableContents"/>
              <w:bidi w:val="0"/>
              <w:spacing w:before="0" w:after="283"/>
              <w:jc w:val="left"/>
              <w:rPr>
                <w:b/>
              </w:rPr>
            </w:pPr>
            <w:r>
              <w:rPr>
                <w:b/>
              </w:rPr>
              <w:t>Duties of the Servicers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109</w:t>
            </w:r>
            <w:r>
              <w:rPr>
                <w:color w:val="0000FF"/>
                <w:u w:val="single"/>
                <w:bdr w:val="double" w:sz="2" w:space="1" w:color="000000"/>
              </w:rPr>
              <w:t>112</w:t>
            </w:r>
          </w:p>
        </w:tc>
        <w:tc>
          <w:tcPr>
            <w:tcW w:w="64" w:type="dxa"/>
            <w:tcBorders/>
            <w:vAlign w:val="bottom"/>
          </w:tcPr>
          <w:p>
            <w:pPr>
              <w:pStyle w:val="TableContents"/>
              <w:bidi w:val="0"/>
              <w:spacing w:before="0" w:after="283"/>
              <w:jc w:val="left"/>
              <w:rPr/>
            </w:pPr>
            <w:r>
              <w:rPr/>
              <w:t> </w:t>
            </w:r>
          </w:p>
        </w:tc>
      </w:tr>
      <w:tr>
        <w:trPr/>
        <w:tc>
          <w:tcPr>
            <w:tcW w:w="1408"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66" w:type="dxa"/>
            <w:tcBorders/>
            <w:vAlign w:val="bottom"/>
          </w:tcPr>
          <w:p>
            <w:pPr>
              <w:pStyle w:val="TableContents"/>
              <w:bidi w:val="0"/>
              <w:spacing w:before="0" w:after="283"/>
              <w:jc w:val="left"/>
              <w:rPr/>
            </w:pPr>
            <w:r>
              <w:rPr/>
              <w:t> </w:t>
            </w:r>
          </w:p>
        </w:tc>
        <w:tc>
          <w:tcPr>
            <w:tcW w:w="7745" w:type="dxa"/>
            <w:tcBorders/>
            <w:vAlign w:val="bottom"/>
          </w:tcPr>
          <w:p>
            <w:pPr>
              <w:pStyle w:val="TableContents"/>
              <w:bidi w:val="0"/>
              <w:spacing w:before="0" w:after="283"/>
              <w:jc w:val="left"/>
              <w:rPr>
                <w:b/>
              </w:rPr>
            </w:pPr>
            <w:r>
              <w:rPr>
                <w:b/>
              </w:rPr>
              <w:t>Collection Account Arrangements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110</w:t>
            </w:r>
            <w:r>
              <w:rPr>
                <w:color w:val="0000FF"/>
                <w:u w:val="single"/>
                <w:bdr w:val="double" w:sz="2" w:space="1" w:color="000000"/>
              </w:rPr>
              <w:t>113</w:t>
            </w:r>
          </w:p>
        </w:tc>
        <w:tc>
          <w:tcPr>
            <w:tcW w:w="64" w:type="dxa"/>
            <w:tcBorders/>
            <w:vAlign w:val="bottom"/>
          </w:tcPr>
          <w:p>
            <w:pPr>
              <w:pStyle w:val="TableContents"/>
              <w:bidi w:val="0"/>
              <w:spacing w:before="0" w:after="283"/>
              <w:jc w:val="left"/>
              <w:rPr/>
            </w:pPr>
            <w:r>
              <w:rPr/>
              <w:t> </w:t>
            </w:r>
          </w:p>
        </w:tc>
      </w:tr>
      <w:tr>
        <w:trPr/>
        <w:tc>
          <w:tcPr>
            <w:tcW w:w="1408" w:type="dxa"/>
            <w:tcBorders/>
          </w:tcPr>
          <w:p>
            <w:pPr>
              <w:pStyle w:val="TableContents"/>
              <w:bidi w:val="0"/>
              <w:spacing w:before="0" w:after="0"/>
              <w:jc w:val="left"/>
              <w:rPr>
                <w:rFonts w:ascii="Times New Roman" w:hAnsi="Times New Roman"/>
                <w:sz w:val="20"/>
              </w:rPr>
            </w:pPr>
            <w:r>
              <w:rPr>
                <w:rFonts w:ascii="Times New Roman" w:hAnsi="Times New Roman"/>
                <w:sz w:val="20"/>
              </w:rPr>
              <w:t>SECTION 8.04</w:t>
            </w:r>
          </w:p>
        </w:tc>
        <w:tc>
          <w:tcPr>
            <w:tcW w:w="66" w:type="dxa"/>
            <w:tcBorders/>
            <w:vAlign w:val="bottom"/>
          </w:tcPr>
          <w:p>
            <w:pPr>
              <w:pStyle w:val="TableContents"/>
              <w:bidi w:val="0"/>
              <w:spacing w:before="0" w:after="283"/>
              <w:jc w:val="left"/>
              <w:rPr/>
            </w:pPr>
            <w:r>
              <w:rPr/>
              <w:t> </w:t>
            </w:r>
          </w:p>
        </w:tc>
        <w:tc>
          <w:tcPr>
            <w:tcW w:w="7745" w:type="dxa"/>
            <w:tcBorders/>
            <w:vAlign w:val="bottom"/>
          </w:tcPr>
          <w:p>
            <w:pPr>
              <w:pStyle w:val="TableContents"/>
              <w:bidi w:val="0"/>
              <w:spacing w:before="0" w:after="283"/>
              <w:jc w:val="left"/>
              <w:rPr>
                <w:b/>
              </w:rPr>
            </w:pPr>
            <w:r>
              <w:rPr>
                <w:b/>
              </w:rPr>
              <w:t>Enforcement Rights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111</w:t>
            </w:r>
            <w:r>
              <w:rPr>
                <w:color w:val="0000FF"/>
                <w:u w:val="single"/>
                <w:bdr w:val="double" w:sz="2" w:space="1" w:color="000000"/>
              </w:rPr>
              <w:t>113</w:t>
            </w:r>
          </w:p>
        </w:tc>
        <w:tc>
          <w:tcPr>
            <w:tcW w:w="64" w:type="dxa"/>
            <w:tcBorders/>
            <w:vAlign w:val="bottom"/>
          </w:tcPr>
          <w:p>
            <w:pPr>
              <w:pStyle w:val="TableContents"/>
              <w:bidi w:val="0"/>
              <w:spacing w:before="0" w:after="283"/>
              <w:jc w:val="left"/>
              <w:rPr/>
            </w:pPr>
            <w:r>
              <w:rPr/>
              <w:t> </w:t>
            </w:r>
          </w:p>
        </w:tc>
      </w:tr>
      <w:tr>
        <w:trPr/>
        <w:tc>
          <w:tcPr>
            <w:tcW w:w="1408" w:type="dxa"/>
            <w:tcBorders/>
          </w:tcPr>
          <w:p>
            <w:pPr>
              <w:pStyle w:val="TableContents"/>
              <w:bidi w:val="0"/>
              <w:spacing w:before="0" w:after="0"/>
              <w:jc w:val="left"/>
              <w:rPr>
                <w:rFonts w:ascii="Times New Roman" w:hAnsi="Times New Roman"/>
                <w:sz w:val="20"/>
              </w:rPr>
            </w:pPr>
            <w:r>
              <w:rPr>
                <w:rFonts w:ascii="Times New Roman" w:hAnsi="Times New Roman"/>
                <w:sz w:val="20"/>
              </w:rPr>
              <w:t>SECTION 8.05</w:t>
            </w:r>
          </w:p>
        </w:tc>
        <w:tc>
          <w:tcPr>
            <w:tcW w:w="66" w:type="dxa"/>
            <w:tcBorders/>
            <w:vAlign w:val="bottom"/>
          </w:tcPr>
          <w:p>
            <w:pPr>
              <w:pStyle w:val="TableContents"/>
              <w:bidi w:val="0"/>
              <w:spacing w:before="0" w:after="283"/>
              <w:jc w:val="left"/>
              <w:rPr/>
            </w:pPr>
            <w:r>
              <w:rPr/>
              <w:t> </w:t>
            </w:r>
          </w:p>
        </w:tc>
        <w:tc>
          <w:tcPr>
            <w:tcW w:w="7745" w:type="dxa"/>
            <w:tcBorders/>
            <w:vAlign w:val="bottom"/>
          </w:tcPr>
          <w:p>
            <w:pPr>
              <w:pStyle w:val="TableContents"/>
              <w:bidi w:val="0"/>
              <w:spacing w:before="0" w:after="283"/>
              <w:jc w:val="left"/>
              <w:rPr>
                <w:b/>
              </w:rPr>
            </w:pPr>
            <w:r>
              <w:rPr>
                <w:b/>
              </w:rPr>
              <w:t>Responsibilities of the Borrower</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112</w:t>
            </w:r>
            <w:r>
              <w:rPr>
                <w:color w:val="0000FF"/>
                <w:u w:val="single"/>
                <w:bdr w:val="double" w:sz="2" w:space="1" w:color="000000"/>
              </w:rPr>
              <w:t>115</w:t>
            </w:r>
          </w:p>
        </w:tc>
        <w:tc>
          <w:tcPr>
            <w:tcW w:w="64" w:type="dxa"/>
            <w:tcBorders/>
            <w:vAlign w:val="bottom"/>
          </w:tcPr>
          <w:p>
            <w:pPr>
              <w:pStyle w:val="TableContents"/>
              <w:bidi w:val="0"/>
              <w:spacing w:before="0" w:after="283"/>
              <w:jc w:val="left"/>
              <w:rPr/>
            </w:pPr>
            <w:r>
              <w:rPr/>
              <w:t> </w:t>
            </w:r>
          </w:p>
        </w:tc>
      </w:tr>
      <w:tr>
        <w:trPr/>
        <w:tc>
          <w:tcPr>
            <w:tcW w:w="1408" w:type="dxa"/>
            <w:tcBorders/>
          </w:tcPr>
          <w:p>
            <w:pPr>
              <w:pStyle w:val="TableContents"/>
              <w:bidi w:val="0"/>
              <w:spacing w:before="0" w:after="0"/>
              <w:jc w:val="left"/>
              <w:rPr>
                <w:rFonts w:ascii="Times New Roman" w:hAnsi="Times New Roman"/>
                <w:sz w:val="20"/>
              </w:rPr>
            </w:pPr>
            <w:r>
              <w:rPr>
                <w:rFonts w:ascii="Times New Roman" w:hAnsi="Times New Roman"/>
                <w:sz w:val="20"/>
              </w:rPr>
              <w:t>SECTION 8.06</w:t>
            </w:r>
          </w:p>
        </w:tc>
        <w:tc>
          <w:tcPr>
            <w:tcW w:w="66" w:type="dxa"/>
            <w:tcBorders/>
            <w:vAlign w:val="bottom"/>
          </w:tcPr>
          <w:p>
            <w:pPr>
              <w:pStyle w:val="TableContents"/>
              <w:bidi w:val="0"/>
              <w:spacing w:before="0" w:after="283"/>
              <w:jc w:val="left"/>
              <w:rPr/>
            </w:pPr>
            <w:r>
              <w:rPr/>
              <w:t> </w:t>
            </w:r>
          </w:p>
        </w:tc>
        <w:tc>
          <w:tcPr>
            <w:tcW w:w="7745" w:type="dxa"/>
            <w:tcBorders/>
            <w:vAlign w:val="bottom"/>
          </w:tcPr>
          <w:p>
            <w:pPr>
              <w:pStyle w:val="TableContents"/>
              <w:bidi w:val="0"/>
              <w:spacing w:before="0" w:after="283"/>
              <w:jc w:val="left"/>
              <w:rPr>
                <w:b/>
              </w:rPr>
            </w:pPr>
            <w:r>
              <w:rPr>
                <w:b/>
              </w:rPr>
              <w:t>Servicing Fee</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113</w:t>
            </w:r>
            <w:r>
              <w:rPr>
                <w:color w:val="0000FF"/>
                <w:u w:val="single"/>
                <w:bdr w:val="double" w:sz="2" w:space="1" w:color="000000"/>
              </w:rPr>
              <w:t>115</w:t>
            </w:r>
          </w:p>
        </w:tc>
        <w:tc>
          <w:tcPr>
            <w:tcW w:w="64" w:type="dxa"/>
            <w:tcBorders/>
            <w:vAlign w:val="bottom"/>
          </w:tcPr>
          <w:p>
            <w:pPr>
              <w:pStyle w:val="TableContents"/>
              <w:bidi w:val="0"/>
              <w:spacing w:before="0" w:after="283"/>
              <w:jc w:val="left"/>
              <w:rPr/>
            </w:pPr>
            <w:r>
              <w:rPr/>
              <w:t> </w:t>
            </w:r>
          </w:p>
        </w:tc>
      </w:tr>
      <w:tr>
        <w:trPr/>
        <w:tc>
          <w:tcPr>
            <w:tcW w:w="1408" w:type="dxa"/>
            <w:tcBorders/>
          </w:tcPr>
          <w:p>
            <w:pPr>
              <w:pStyle w:val="TableContents"/>
              <w:bidi w:val="0"/>
              <w:spacing w:before="0" w:after="0"/>
              <w:jc w:val="left"/>
              <w:rPr>
                <w:rFonts w:ascii="Times New Roman" w:hAnsi="Times New Roman"/>
                <w:sz w:val="20"/>
              </w:rPr>
            </w:pPr>
            <w:r>
              <w:rPr>
                <w:rFonts w:ascii="Times New Roman" w:hAnsi="Times New Roman"/>
                <w:sz w:val="20"/>
              </w:rPr>
              <w:t>SECTION 8.07</w:t>
            </w:r>
          </w:p>
        </w:tc>
        <w:tc>
          <w:tcPr>
            <w:tcW w:w="66" w:type="dxa"/>
            <w:tcBorders/>
            <w:vAlign w:val="bottom"/>
          </w:tcPr>
          <w:p>
            <w:pPr>
              <w:pStyle w:val="TableContents"/>
              <w:bidi w:val="0"/>
              <w:spacing w:before="0" w:after="283"/>
              <w:jc w:val="left"/>
              <w:rPr/>
            </w:pPr>
            <w:r>
              <w:rPr/>
              <w:t> </w:t>
            </w:r>
          </w:p>
        </w:tc>
        <w:tc>
          <w:tcPr>
            <w:tcW w:w="7745" w:type="dxa"/>
            <w:tcBorders/>
            <w:vAlign w:val="bottom"/>
          </w:tcPr>
          <w:p>
            <w:pPr>
              <w:pStyle w:val="TableContents"/>
              <w:bidi w:val="0"/>
              <w:spacing w:before="0" w:after="283"/>
              <w:jc w:val="left"/>
              <w:rPr>
                <w:b/>
              </w:rPr>
            </w:pPr>
            <w:r>
              <w:rPr>
                <w:b/>
              </w:rPr>
              <w:t>Credit Insurance Policies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113</w:t>
            </w:r>
            <w:r>
              <w:rPr>
                <w:color w:val="0000FF"/>
                <w:u w:val="single"/>
                <w:bdr w:val="double" w:sz="2" w:space="1" w:color="000000"/>
              </w:rPr>
              <w:t>116</w:t>
            </w:r>
          </w:p>
        </w:tc>
        <w:tc>
          <w:tcPr>
            <w:tcW w:w="64" w:type="dxa"/>
            <w:tcBorders/>
            <w:vAlign w:val="bottom"/>
          </w:tcPr>
          <w:p>
            <w:pPr>
              <w:pStyle w:val="TableContents"/>
              <w:bidi w:val="0"/>
              <w:spacing w:before="0" w:after="283"/>
              <w:jc w:val="left"/>
              <w:rPr/>
            </w:pPr>
            <w:r>
              <w:rPr/>
              <w:t> </w:t>
            </w:r>
          </w:p>
        </w:tc>
      </w:tr>
      <w:tr>
        <w:trPr>
          <w:trHeight w:val="120" w:hRule="atLeast"/>
        </w:trPr>
        <w:tc>
          <w:tcPr>
            <w:tcW w:w="9219" w:type="dxa"/>
            <w:gridSpan w:val="3"/>
            <w:tcBorders/>
            <w:vAlign w:val="center"/>
          </w:tcPr>
          <w:p>
            <w:pPr>
              <w:pStyle w:val="TableContents"/>
              <w:bidi w:val="0"/>
              <w:spacing w:before="0" w:after="283"/>
              <w:jc w:val="left"/>
              <w:rPr>
                <w:sz w:val="4"/>
                <w:szCs w:val="4"/>
              </w:rPr>
            </w:pPr>
            <w:r>
              <w:rPr>
                <w:sz w:val="4"/>
                <w:szCs w:val="4"/>
              </w:rPr>
            </w:r>
          </w:p>
        </w:tc>
        <w:tc>
          <w:tcPr>
            <w:tcW w:w="986" w:type="dxa"/>
            <w:gridSpan w:val="4"/>
            <w:tcBorders/>
            <w:vAlign w:val="center"/>
          </w:tcPr>
          <w:p>
            <w:pPr>
              <w:pStyle w:val="TableContents"/>
              <w:bidi w:val="0"/>
              <w:spacing w:before="0" w:after="283"/>
              <w:jc w:val="left"/>
              <w:rPr>
                <w:sz w:val="4"/>
                <w:szCs w:val="4"/>
              </w:rPr>
            </w:pPr>
            <w:r>
              <w:rPr>
                <w:sz w:val="4"/>
                <w:szCs w:val="4"/>
              </w:rPr>
            </w:r>
          </w:p>
        </w:tc>
      </w:tr>
      <w:tr>
        <w:trPr/>
        <w:tc>
          <w:tcPr>
            <w:tcW w:w="9219"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IX EVENTS OF DEFAULT</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b/>
              </w:rPr>
            </w:pPr>
            <w:r>
              <w:rPr>
                <w:b/>
                <w:strike/>
                <w:color w:val="FF0000"/>
              </w:rPr>
              <w:t>115</w:t>
            </w:r>
            <w:r>
              <w:rPr>
                <w:b/>
                <w:color w:val="0000FF"/>
                <w:u w:val="single"/>
                <w:bdr w:val="double" w:sz="2" w:space="1" w:color="000000"/>
              </w:rPr>
              <w:t>118</w:t>
            </w:r>
          </w:p>
        </w:tc>
        <w:tc>
          <w:tcPr>
            <w:tcW w:w="64" w:type="dxa"/>
            <w:tcBorders/>
            <w:vAlign w:val="bottom"/>
          </w:tcPr>
          <w:p>
            <w:pPr>
              <w:pStyle w:val="TableContents"/>
              <w:bidi w:val="0"/>
              <w:spacing w:before="0" w:after="283"/>
              <w:jc w:val="left"/>
              <w:rPr/>
            </w:pPr>
            <w:r>
              <w:rPr/>
              <w:t> </w:t>
            </w:r>
          </w:p>
        </w:tc>
      </w:tr>
      <w:tr>
        <w:trPr>
          <w:trHeight w:val="120" w:hRule="atLeast"/>
        </w:trPr>
        <w:tc>
          <w:tcPr>
            <w:tcW w:w="1408" w:type="dxa"/>
            <w:tcBorders/>
            <w:vAlign w:val="center"/>
          </w:tcPr>
          <w:p>
            <w:pPr>
              <w:pStyle w:val="TableContents"/>
              <w:bidi w:val="0"/>
              <w:spacing w:before="0" w:after="283"/>
              <w:jc w:val="left"/>
              <w:rPr>
                <w:sz w:val="4"/>
                <w:szCs w:val="4"/>
              </w:rPr>
            </w:pPr>
            <w:r>
              <w:rPr>
                <w:sz w:val="4"/>
                <w:szCs w:val="4"/>
              </w:rPr>
            </w:r>
          </w:p>
        </w:tc>
        <w:tc>
          <w:tcPr>
            <w:tcW w:w="7811" w:type="dxa"/>
            <w:gridSpan w:val="2"/>
            <w:tcBorders/>
            <w:vAlign w:val="center"/>
          </w:tcPr>
          <w:p>
            <w:pPr>
              <w:pStyle w:val="TableContents"/>
              <w:bidi w:val="0"/>
              <w:spacing w:before="0" w:after="283"/>
              <w:jc w:val="left"/>
              <w:rPr>
                <w:sz w:val="4"/>
                <w:szCs w:val="4"/>
              </w:rPr>
            </w:pPr>
            <w:r>
              <w:rPr>
                <w:sz w:val="4"/>
                <w:szCs w:val="4"/>
              </w:rPr>
            </w:r>
          </w:p>
        </w:tc>
        <w:tc>
          <w:tcPr>
            <w:tcW w:w="986" w:type="dxa"/>
            <w:gridSpan w:val="4"/>
            <w:tcBorders/>
            <w:vAlign w:val="center"/>
          </w:tcPr>
          <w:p>
            <w:pPr>
              <w:pStyle w:val="TableContents"/>
              <w:bidi w:val="0"/>
              <w:spacing w:before="0" w:after="283"/>
              <w:jc w:val="left"/>
              <w:rPr>
                <w:sz w:val="4"/>
                <w:szCs w:val="4"/>
              </w:rPr>
            </w:pPr>
            <w:r>
              <w:rPr>
                <w:sz w:val="4"/>
                <w:szCs w:val="4"/>
              </w:rPr>
            </w:r>
          </w:p>
        </w:tc>
      </w:tr>
      <w:tr>
        <w:trPr/>
        <w:tc>
          <w:tcPr>
            <w:tcW w:w="1408"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66" w:type="dxa"/>
            <w:tcBorders/>
            <w:vAlign w:val="bottom"/>
          </w:tcPr>
          <w:p>
            <w:pPr>
              <w:pStyle w:val="TableContents"/>
              <w:bidi w:val="0"/>
              <w:spacing w:before="0" w:after="283"/>
              <w:jc w:val="left"/>
              <w:rPr/>
            </w:pPr>
            <w:r>
              <w:rPr/>
              <w:t> </w:t>
            </w:r>
          </w:p>
        </w:tc>
        <w:tc>
          <w:tcPr>
            <w:tcW w:w="7745" w:type="dxa"/>
            <w:tcBorders/>
          </w:tcPr>
          <w:p>
            <w:pPr>
              <w:pStyle w:val="TableContents"/>
              <w:bidi w:val="0"/>
              <w:spacing w:before="0" w:after="0"/>
              <w:jc w:val="left"/>
              <w:rPr>
                <w:rFonts w:ascii="Times New Roman" w:hAnsi="Times New Roman"/>
                <w:b/>
                <w:sz w:val="20"/>
              </w:rPr>
            </w:pPr>
            <w:r>
              <w:rPr>
                <w:rFonts w:ascii="Times New Roman" w:hAnsi="Times New Roman"/>
                <w:b/>
                <w:sz w:val="20"/>
              </w:rPr>
              <w:t>Events of Default</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115</w:t>
            </w:r>
            <w:r>
              <w:rPr>
                <w:color w:val="0000FF"/>
                <w:u w:val="single"/>
                <w:bdr w:val="double" w:sz="2" w:space="1" w:color="000000"/>
              </w:rPr>
              <w:t>118</w:t>
            </w:r>
          </w:p>
        </w:tc>
        <w:tc>
          <w:tcPr>
            <w:tcW w:w="64" w:type="dxa"/>
            <w:tcBorders/>
            <w:vAlign w:val="bottom"/>
          </w:tcPr>
          <w:p>
            <w:pPr>
              <w:pStyle w:val="TableContents"/>
              <w:bidi w:val="0"/>
              <w:spacing w:before="0" w:after="283"/>
              <w:jc w:val="left"/>
              <w:rPr/>
            </w:pPr>
            <w:r>
              <w:rPr/>
              <w:t> </w:t>
            </w:r>
          </w:p>
        </w:tc>
      </w:tr>
      <w:tr>
        <w:trPr/>
        <w:tc>
          <w:tcPr>
            <w:tcW w:w="1408"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66" w:type="dxa"/>
            <w:tcBorders/>
            <w:vAlign w:val="bottom"/>
          </w:tcPr>
          <w:p>
            <w:pPr>
              <w:pStyle w:val="TableContents"/>
              <w:bidi w:val="0"/>
              <w:spacing w:before="0" w:after="283"/>
              <w:jc w:val="left"/>
              <w:rPr/>
            </w:pPr>
            <w:r>
              <w:rPr/>
              <w:t> </w:t>
            </w:r>
          </w:p>
        </w:tc>
        <w:tc>
          <w:tcPr>
            <w:tcW w:w="7745" w:type="dxa"/>
            <w:tcBorders/>
            <w:vAlign w:val="bottom"/>
          </w:tcPr>
          <w:p>
            <w:pPr>
              <w:pStyle w:val="TableContents"/>
              <w:bidi w:val="0"/>
              <w:spacing w:before="0" w:after="283"/>
              <w:jc w:val="left"/>
              <w:rPr>
                <w:b/>
              </w:rPr>
            </w:pPr>
            <w:r>
              <w:rPr>
                <w:b/>
              </w:rPr>
              <w:t>Consequences of an Event of Default</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118</w:t>
            </w:r>
            <w:r>
              <w:rPr>
                <w:color w:val="0000FF"/>
                <w:u w:val="single"/>
                <w:bdr w:val="double" w:sz="2" w:space="1" w:color="000000"/>
              </w:rPr>
              <w:t>121</w:t>
            </w:r>
          </w:p>
        </w:tc>
        <w:tc>
          <w:tcPr>
            <w:tcW w:w="64" w:type="dxa"/>
            <w:tcBorders/>
            <w:vAlign w:val="bottom"/>
          </w:tcPr>
          <w:p>
            <w:pPr>
              <w:pStyle w:val="TableContents"/>
              <w:bidi w:val="0"/>
              <w:spacing w:before="0" w:after="283"/>
              <w:jc w:val="left"/>
              <w:rPr/>
            </w:pPr>
            <w:r>
              <w:rPr/>
              <w:t> </w:t>
            </w:r>
          </w:p>
        </w:tc>
      </w:tr>
      <w:tr>
        <w:trPr/>
        <w:tc>
          <w:tcPr>
            <w:tcW w:w="1408"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66" w:type="dxa"/>
            <w:tcBorders/>
            <w:vAlign w:val="bottom"/>
          </w:tcPr>
          <w:p>
            <w:pPr>
              <w:pStyle w:val="TableContents"/>
              <w:bidi w:val="0"/>
              <w:spacing w:before="0" w:after="283"/>
              <w:jc w:val="left"/>
              <w:rPr/>
            </w:pPr>
            <w:r>
              <w:rPr/>
              <w:t> </w:t>
            </w:r>
          </w:p>
        </w:tc>
        <w:tc>
          <w:tcPr>
            <w:tcW w:w="7745" w:type="dxa"/>
            <w:tcBorders/>
            <w:vAlign w:val="bottom"/>
          </w:tcPr>
          <w:p>
            <w:pPr>
              <w:pStyle w:val="TableContents"/>
              <w:bidi w:val="0"/>
              <w:spacing w:before="0" w:after="283"/>
              <w:jc w:val="left"/>
              <w:rPr>
                <w:b/>
              </w:rPr>
            </w:pPr>
            <w:r>
              <w:rPr>
                <w:b/>
              </w:rPr>
              <w:t>Additional Provisions Related to Remedies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120</w:t>
            </w:r>
            <w:r>
              <w:rPr>
                <w:color w:val="0000FF"/>
                <w:u w:val="single"/>
                <w:bdr w:val="double" w:sz="2" w:space="1" w:color="000000"/>
              </w:rPr>
              <w:t>123</w:t>
            </w:r>
          </w:p>
        </w:tc>
        <w:tc>
          <w:tcPr>
            <w:tcW w:w="64" w:type="dxa"/>
            <w:tcBorders/>
            <w:vAlign w:val="bottom"/>
          </w:tcPr>
          <w:p>
            <w:pPr>
              <w:pStyle w:val="TableContents"/>
              <w:bidi w:val="0"/>
              <w:spacing w:before="0" w:after="283"/>
              <w:jc w:val="left"/>
              <w:rPr/>
            </w:pPr>
            <w:r>
              <w:rPr/>
              <w:t> </w:t>
            </w:r>
          </w:p>
        </w:tc>
      </w:tr>
      <w:tr>
        <w:trPr/>
        <w:tc>
          <w:tcPr>
            <w:tcW w:w="1408"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66" w:type="dxa"/>
            <w:tcBorders/>
            <w:vAlign w:val="bottom"/>
          </w:tcPr>
          <w:p>
            <w:pPr>
              <w:pStyle w:val="TableContents"/>
              <w:bidi w:val="0"/>
              <w:spacing w:before="0" w:after="283"/>
              <w:jc w:val="left"/>
              <w:rPr/>
            </w:pPr>
            <w:r>
              <w:rPr/>
              <w:t> </w:t>
            </w:r>
          </w:p>
        </w:tc>
        <w:tc>
          <w:tcPr>
            <w:tcW w:w="7745" w:type="dxa"/>
            <w:tcBorders/>
            <w:vAlign w:val="bottom"/>
          </w:tcPr>
          <w:p>
            <w:pPr>
              <w:pStyle w:val="TableContents"/>
              <w:bidi w:val="0"/>
              <w:spacing w:before="0" w:after="283"/>
              <w:jc w:val="left"/>
              <w:rPr>
                <w:b/>
              </w:rPr>
            </w:pPr>
            <w:r>
              <w:rPr>
                <w:b/>
              </w:rPr>
              <w:t>Purchase Options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122</w:t>
            </w:r>
            <w:r>
              <w:rPr>
                <w:color w:val="0000FF"/>
                <w:u w:val="single"/>
                <w:bdr w:val="double" w:sz="2" w:space="1" w:color="000000"/>
              </w:rPr>
              <w:t>125</w:t>
            </w:r>
          </w:p>
        </w:tc>
        <w:tc>
          <w:tcPr>
            <w:tcW w:w="64" w:type="dxa"/>
            <w:tcBorders/>
            <w:vAlign w:val="bottom"/>
          </w:tcPr>
          <w:p>
            <w:pPr>
              <w:pStyle w:val="TableContents"/>
              <w:bidi w:val="0"/>
              <w:spacing w:before="0" w:after="283"/>
              <w:jc w:val="left"/>
              <w:rPr/>
            </w:pPr>
            <w:r>
              <w:rPr/>
              <w:t> </w:t>
            </w:r>
          </w:p>
        </w:tc>
      </w:tr>
      <w:tr>
        <w:trPr>
          <w:trHeight w:val="120" w:hRule="atLeast"/>
        </w:trPr>
        <w:tc>
          <w:tcPr>
            <w:tcW w:w="9219" w:type="dxa"/>
            <w:gridSpan w:val="3"/>
            <w:tcBorders/>
            <w:vAlign w:val="center"/>
          </w:tcPr>
          <w:p>
            <w:pPr>
              <w:pStyle w:val="TableContents"/>
              <w:bidi w:val="0"/>
              <w:spacing w:before="0" w:after="283"/>
              <w:jc w:val="left"/>
              <w:rPr>
                <w:sz w:val="4"/>
                <w:szCs w:val="4"/>
              </w:rPr>
            </w:pPr>
            <w:r>
              <w:rPr>
                <w:sz w:val="4"/>
                <w:szCs w:val="4"/>
              </w:rPr>
            </w:r>
          </w:p>
        </w:tc>
        <w:tc>
          <w:tcPr>
            <w:tcW w:w="986" w:type="dxa"/>
            <w:gridSpan w:val="4"/>
            <w:tcBorders/>
            <w:vAlign w:val="center"/>
          </w:tcPr>
          <w:p>
            <w:pPr>
              <w:pStyle w:val="TableContents"/>
              <w:bidi w:val="0"/>
              <w:spacing w:before="0" w:after="283"/>
              <w:jc w:val="left"/>
              <w:rPr>
                <w:sz w:val="4"/>
                <w:szCs w:val="4"/>
              </w:rPr>
            </w:pPr>
            <w:r>
              <w:rPr>
                <w:sz w:val="4"/>
                <w:szCs w:val="4"/>
              </w:rPr>
            </w:r>
          </w:p>
        </w:tc>
      </w:tr>
      <w:tr>
        <w:trPr/>
        <w:tc>
          <w:tcPr>
            <w:tcW w:w="9219"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X THE ADMINISTRATIVE AGENT</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b/>
              </w:rPr>
            </w:pPr>
            <w:r>
              <w:rPr>
                <w:b/>
                <w:strike/>
                <w:color w:val="FF0000"/>
              </w:rPr>
              <w:t>126</w:t>
            </w:r>
            <w:r>
              <w:rPr>
                <w:b/>
                <w:color w:val="0000FF"/>
                <w:u w:val="single"/>
                <w:bdr w:val="double" w:sz="2" w:space="1" w:color="000000"/>
              </w:rPr>
              <w:t>128</w:t>
            </w:r>
          </w:p>
        </w:tc>
        <w:tc>
          <w:tcPr>
            <w:tcW w:w="64" w:type="dxa"/>
            <w:tcBorders/>
            <w:vAlign w:val="bottom"/>
          </w:tcPr>
          <w:p>
            <w:pPr>
              <w:pStyle w:val="TableContents"/>
              <w:bidi w:val="0"/>
              <w:spacing w:before="0" w:after="283"/>
              <w:jc w:val="left"/>
              <w:rPr/>
            </w:pPr>
            <w:r>
              <w:rPr/>
              <w:t> </w:t>
            </w:r>
          </w:p>
        </w:tc>
      </w:tr>
      <w:tr>
        <w:trPr>
          <w:trHeight w:val="120" w:hRule="atLeast"/>
        </w:trPr>
        <w:tc>
          <w:tcPr>
            <w:tcW w:w="1408" w:type="dxa"/>
            <w:tcBorders/>
            <w:vAlign w:val="center"/>
          </w:tcPr>
          <w:p>
            <w:pPr>
              <w:pStyle w:val="TableContents"/>
              <w:bidi w:val="0"/>
              <w:spacing w:before="0" w:after="283"/>
              <w:jc w:val="left"/>
              <w:rPr>
                <w:sz w:val="4"/>
                <w:szCs w:val="4"/>
              </w:rPr>
            </w:pPr>
            <w:r>
              <w:rPr>
                <w:sz w:val="4"/>
                <w:szCs w:val="4"/>
              </w:rPr>
            </w:r>
          </w:p>
        </w:tc>
        <w:tc>
          <w:tcPr>
            <w:tcW w:w="7811" w:type="dxa"/>
            <w:gridSpan w:val="2"/>
            <w:tcBorders/>
            <w:vAlign w:val="center"/>
          </w:tcPr>
          <w:p>
            <w:pPr>
              <w:pStyle w:val="TableContents"/>
              <w:bidi w:val="0"/>
              <w:spacing w:before="0" w:after="283"/>
              <w:jc w:val="left"/>
              <w:rPr>
                <w:sz w:val="4"/>
                <w:szCs w:val="4"/>
              </w:rPr>
            </w:pPr>
            <w:r>
              <w:rPr>
                <w:sz w:val="4"/>
                <w:szCs w:val="4"/>
              </w:rPr>
            </w:r>
          </w:p>
        </w:tc>
        <w:tc>
          <w:tcPr>
            <w:tcW w:w="986" w:type="dxa"/>
            <w:gridSpan w:val="4"/>
            <w:tcBorders/>
            <w:vAlign w:val="center"/>
          </w:tcPr>
          <w:p>
            <w:pPr>
              <w:pStyle w:val="TableContents"/>
              <w:bidi w:val="0"/>
              <w:spacing w:before="0" w:after="283"/>
              <w:jc w:val="left"/>
              <w:rPr>
                <w:sz w:val="4"/>
                <w:szCs w:val="4"/>
              </w:rPr>
            </w:pPr>
            <w:r>
              <w:rPr>
                <w:sz w:val="4"/>
                <w:szCs w:val="4"/>
              </w:rPr>
            </w:r>
          </w:p>
        </w:tc>
      </w:tr>
      <w:tr>
        <w:trPr/>
        <w:tc>
          <w:tcPr>
            <w:tcW w:w="1408" w:type="dxa"/>
            <w:tcBorders/>
          </w:tcPr>
          <w:p>
            <w:pPr>
              <w:pStyle w:val="TableContents"/>
              <w:bidi w:val="0"/>
              <w:spacing w:before="0" w:after="0"/>
              <w:jc w:val="left"/>
              <w:rPr>
                <w:rFonts w:ascii="Times New Roman" w:hAnsi="Times New Roman"/>
                <w:sz w:val="20"/>
              </w:rPr>
            </w:pPr>
            <w:r>
              <w:rPr>
                <w:rFonts w:ascii="Times New Roman" w:hAnsi="Times New Roman"/>
                <w:sz w:val="20"/>
              </w:rPr>
              <w:t>SECTION 10.01</w:t>
            </w:r>
          </w:p>
        </w:tc>
        <w:tc>
          <w:tcPr>
            <w:tcW w:w="66" w:type="dxa"/>
            <w:tcBorders/>
            <w:vAlign w:val="bottom"/>
          </w:tcPr>
          <w:p>
            <w:pPr>
              <w:pStyle w:val="TableContents"/>
              <w:bidi w:val="0"/>
              <w:spacing w:before="0" w:after="283"/>
              <w:jc w:val="left"/>
              <w:rPr/>
            </w:pPr>
            <w:r>
              <w:rPr/>
              <w:t> </w:t>
            </w:r>
          </w:p>
        </w:tc>
        <w:tc>
          <w:tcPr>
            <w:tcW w:w="7745" w:type="dxa"/>
            <w:tcBorders/>
          </w:tcPr>
          <w:p>
            <w:pPr>
              <w:pStyle w:val="TableContents"/>
              <w:bidi w:val="0"/>
              <w:spacing w:before="0" w:after="0"/>
              <w:jc w:val="left"/>
              <w:rPr>
                <w:rFonts w:ascii="Times New Roman" w:hAnsi="Times New Roman"/>
                <w:b/>
                <w:sz w:val="20"/>
              </w:rPr>
            </w:pPr>
            <w:r>
              <w:rPr>
                <w:rFonts w:ascii="Times New Roman" w:hAnsi="Times New Roman"/>
                <w:b/>
                <w:sz w:val="20"/>
              </w:rPr>
              <w:t>Appointment and Authority</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126</w:t>
            </w:r>
            <w:r>
              <w:rPr>
                <w:color w:val="0000FF"/>
                <w:u w:val="single"/>
                <w:bdr w:val="double" w:sz="2" w:space="1" w:color="000000"/>
              </w:rPr>
              <w:t>128</w:t>
            </w:r>
          </w:p>
        </w:tc>
        <w:tc>
          <w:tcPr>
            <w:tcW w:w="64" w:type="dxa"/>
            <w:tcBorders/>
            <w:vAlign w:val="bottom"/>
          </w:tcPr>
          <w:p>
            <w:pPr>
              <w:pStyle w:val="TableContents"/>
              <w:bidi w:val="0"/>
              <w:spacing w:before="0" w:after="283"/>
              <w:jc w:val="left"/>
              <w:rPr/>
            </w:pPr>
            <w:r>
              <w:rPr/>
              <w:t> </w:t>
            </w:r>
          </w:p>
        </w:tc>
      </w:tr>
      <w:tr>
        <w:trPr/>
        <w:tc>
          <w:tcPr>
            <w:tcW w:w="1408" w:type="dxa"/>
            <w:tcBorders/>
          </w:tcPr>
          <w:p>
            <w:pPr>
              <w:pStyle w:val="TableContents"/>
              <w:bidi w:val="0"/>
              <w:spacing w:before="0" w:after="0"/>
              <w:jc w:val="left"/>
              <w:rPr>
                <w:rFonts w:ascii="Times New Roman" w:hAnsi="Times New Roman"/>
                <w:sz w:val="20"/>
              </w:rPr>
            </w:pPr>
            <w:r>
              <w:rPr>
                <w:rFonts w:ascii="Times New Roman" w:hAnsi="Times New Roman"/>
                <w:sz w:val="20"/>
              </w:rPr>
              <w:t>SECTION 10.02</w:t>
            </w:r>
          </w:p>
        </w:tc>
        <w:tc>
          <w:tcPr>
            <w:tcW w:w="66" w:type="dxa"/>
            <w:tcBorders/>
            <w:vAlign w:val="bottom"/>
          </w:tcPr>
          <w:p>
            <w:pPr>
              <w:pStyle w:val="TableContents"/>
              <w:bidi w:val="0"/>
              <w:spacing w:before="0" w:after="283"/>
              <w:jc w:val="left"/>
              <w:rPr/>
            </w:pPr>
            <w:r>
              <w:rPr/>
              <w:t> </w:t>
            </w:r>
          </w:p>
        </w:tc>
        <w:tc>
          <w:tcPr>
            <w:tcW w:w="7745" w:type="dxa"/>
            <w:tcBorders/>
            <w:vAlign w:val="bottom"/>
          </w:tcPr>
          <w:p>
            <w:pPr>
              <w:pStyle w:val="TableContents"/>
              <w:bidi w:val="0"/>
              <w:spacing w:before="0" w:after="283"/>
              <w:jc w:val="left"/>
              <w:rPr>
                <w:b/>
              </w:rPr>
            </w:pPr>
            <w:r>
              <w:rPr>
                <w:b/>
              </w:rPr>
              <w:t>Rights as a Lender</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126</w:t>
            </w:r>
            <w:r>
              <w:rPr>
                <w:color w:val="0000FF"/>
                <w:u w:val="single"/>
                <w:bdr w:val="double" w:sz="2" w:space="1" w:color="000000"/>
              </w:rPr>
              <w:t>129</w:t>
            </w:r>
          </w:p>
        </w:tc>
        <w:tc>
          <w:tcPr>
            <w:tcW w:w="64" w:type="dxa"/>
            <w:tcBorders/>
            <w:vAlign w:val="bottom"/>
          </w:tcPr>
          <w:p>
            <w:pPr>
              <w:pStyle w:val="TableContents"/>
              <w:bidi w:val="0"/>
              <w:spacing w:before="0" w:after="283"/>
              <w:jc w:val="left"/>
              <w:rPr/>
            </w:pPr>
            <w:r>
              <w:rPr/>
              <w:t> </w:t>
            </w:r>
          </w:p>
        </w:tc>
      </w:tr>
      <w:tr>
        <w:trPr/>
        <w:tc>
          <w:tcPr>
            <w:tcW w:w="1408" w:type="dxa"/>
            <w:tcBorders/>
          </w:tcPr>
          <w:p>
            <w:pPr>
              <w:pStyle w:val="TableContents"/>
              <w:bidi w:val="0"/>
              <w:spacing w:before="0" w:after="0"/>
              <w:jc w:val="left"/>
              <w:rPr>
                <w:rFonts w:ascii="Times New Roman" w:hAnsi="Times New Roman"/>
                <w:sz w:val="20"/>
              </w:rPr>
            </w:pPr>
            <w:r>
              <w:rPr>
                <w:rFonts w:ascii="Times New Roman" w:hAnsi="Times New Roman"/>
                <w:sz w:val="20"/>
              </w:rPr>
              <w:t>SECTION 10.03</w:t>
            </w:r>
          </w:p>
        </w:tc>
        <w:tc>
          <w:tcPr>
            <w:tcW w:w="66" w:type="dxa"/>
            <w:tcBorders/>
            <w:vAlign w:val="bottom"/>
          </w:tcPr>
          <w:p>
            <w:pPr>
              <w:pStyle w:val="TableContents"/>
              <w:bidi w:val="0"/>
              <w:spacing w:before="0" w:after="283"/>
              <w:jc w:val="left"/>
              <w:rPr/>
            </w:pPr>
            <w:r>
              <w:rPr/>
              <w:t> </w:t>
            </w:r>
          </w:p>
        </w:tc>
        <w:tc>
          <w:tcPr>
            <w:tcW w:w="7745" w:type="dxa"/>
            <w:tcBorders/>
            <w:vAlign w:val="bottom"/>
          </w:tcPr>
          <w:p>
            <w:pPr>
              <w:pStyle w:val="TableContents"/>
              <w:bidi w:val="0"/>
              <w:spacing w:before="0" w:after="283"/>
              <w:jc w:val="left"/>
              <w:rPr>
                <w:b/>
              </w:rPr>
            </w:pPr>
            <w:r>
              <w:rPr>
                <w:b/>
              </w:rPr>
              <w:t>Exculpatory Provisions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126</w:t>
            </w:r>
            <w:r>
              <w:rPr>
                <w:color w:val="0000FF"/>
                <w:u w:val="single"/>
                <w:bdr w:val="double" w:sz="2" w:space="1" w:color="000000"/>
              </w:rPr>
              <w:t>129</w:t>
            </w:r>
          </w:p>
        </w:tc>
        <w:tc>
          <w:tcPr>
            <w:tcW w:w="64" w:type="dxa"/>
            <w:tcBorders/>
            <w:vAlign w:val="bottom"/>
          </w:tcPr>
          <w:p>
            <w:pPr>
              <w:pStyle w:val="TableContents"/>
              <w:bidi w:val="0"/>
              <w:spacing w:before="0" w:after="283"/>
              <w:jc w:val="left"/>
              <w:rPr/>
            </w:pPr>
            <w:r>
              <w:rPr/>
              <w:t> </w:t>
            </w:r>
          </w:p>
        </w:tc>
      </w:tr>
      <w:tr>
        <w:trPr/>
        <w:tc>
          <w:tcPr>
            <w:tcW w:w="1408" w:type="dxa"/>
            <w:tcBorders/>
          </w:tcPr>
          <w:p>
            <w:pPr>
              <w:pStyle w:val="TableContents"/>
              <w:bidi w:val="0"/>
              <w:spacing w:before="0" w:after="0"/>
              <w:jc w:val="left"/>
              <w:rPr>
                <w:rFonts w:ascii="Times New Roman" w:hAnsi="Times New Roman"/>
                <w:sz w:val="20"/>
              </w:rPr>
            </w:pPr>
            <w:r>
              <w:rPr>
                <w:rFonts w:ascii="Times New Roman" w:hAnsi="Times New Roman"/>
                <w:sz w:val="20"/>
              </w:rPr>
              <w:t>SECTION 10.04</w:t>
            </w:r>
          </w:p>
        </w:tc>
        <w:tc>
          <w:tcPr>
            <w:tcW w:w="66" w:type="dxa"/>
            <w:tcBorders/>
            <w:vAlign w:val="bottom"/>
          </w:tcPr>
          <w:p>
            <w:pPr>
              <w:pStyle w:val="TableContents"/>
              <w:bidi w:val="0"/>
              <w:spacing w:before="0" w:after="283"/>
              <w:jc w:val="left"/>
              <w:rPr/>
            </w:pPr>
            <w:r>
              <w:rPr/>
              <w:t> </w:t>
            </w:r>
          </w:p>
        </w:tc>
        <w:tc>
          <w:tcPr>
            <w:tcW w:w="7745" w:type="dxa"/>
            <w:tcBorders/>
            <w:vAlign w:val="bottom"/>
          </w:tcPr>
          <w:p>
            <w:pPr>
              <w:pStyle w:val="TableContents"/>
              <w:bidi w:val="0"/>
              <w:spacing w:before="0" w:after="283"/>
              <w:jc w:val="left"/>
              <w:rPr>
                <w:b/>
              </w:rPr>
            </w:pPr>
            <w:r>
              <w:rPr>
                <w:b/>
              </w:rPr>
              <w:t>Reliance by Administrative Agent</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127</w:t>
            </w:r>
            <w:r>
              <w:rPr>
                <w:color w:val="0000FF"/>
                <w:u w:val="single"/>
                <w:bdr w:val="double" w:sz="2" w:space="1" w:color="000000"/>
              </w:rPr>
              <w:t>130</w:t>
            </w:r>
          </w:p>
        </w:tc>
        <w:tc>
          <w:tcPr>
            <w:tcW w:w="64" w:type="dxa"/>
            <w:tcBorders/>
            <w:vAlign w:val="bottom"/>
          </w:tcPr>
          <w:p>
            <w:pPr>
              <w:pStyle w:val="TableContents"/>
              <w:bidi w:val="0"/>
              <w:spacing w:before="0" w:after="283"/>
              <w:jc w:val="left"/>
              <w:rPr/>
            </w:pPr>
            <w:r>
              <w:rPr/>
              <w:t> </w:t>
            </w:r>
          </w:p>
        </w:tc>
      </w:tr>
      <w:tr>
        <w:trPr/>
        <w:tc>
          <w:tcPr>
            <w:tcW w:w="1408" w:type="dxa"/>
            <w:tcBorders/>
          </w:tcPr>
          <w:p>
            <w:pPr>
              <w:pStyle w:val="TableContents"/>
              <w:bidi w:val="0"/>
              <w:spacing w:before="0" w:after="0"/>
              <w:jc w:val="left"/>
              <w:rPr>
                <w:rFonts w:ascii="Times New Roman" w:hAnsi="Times New Roman"/>
                <w:sz w:val="20"/>
              </w:rPr>
            </w:pPr>
            <w:r>
              <w:rPr>
                <w:rFonts w:ascii="Times New Roman" w:hAnsi="Times New Roman"/>
                <w:sz w:val="20"/>
              </w:rPr>
              <w:t>SECTION 10.05</w:t>
            </w:r>
          </w:p>
        </w:tc>
        <w:tc>
          <w:tcPr>
            <w:tcW w:w="66" w:type="dxa"/>
            <w:tcBorders/>
            <w:vAlign w:val="bottom"/>
          </w:tcPr>
          <w:p>
            <w:pPr>
              <w:pStyle w:val="TableContents"/>
              <w:bidi w:val="0"/>
              <w:spacing w:before="0" w:after="283"/>
              <w:jc w:val="left"/>
              <w:rPr/>
            </w:pPr>
            <w:r>
              <w:rPr/>
              <w:t> </w:t>
            </w:r>
          </w:p>
        </w:tc>
        <w:tc>
          <w:tcPr>
            <w:tcW w:w="7745" w:type="dxa"/>
            <w:tcBorders/>
            <w:vAlign w:val="bottom"/>
          </w:tcPr>
          <w:p>
            <w:pPr>
              <w:pStyle w:val="TableContents"/>
              <w:bidi w:val="0"/>
              <w:spacing w:before="0" w:after="283"/>
              <w:jc w:val="left"/>
              <w:rPr>
                <w:b/>
              </w:rPr>
            </w:pPr>
            <w:r>
              <w:rPr>
                <w:b/>
              </w:rPr>
              <w:t>Delegation of Duties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128</w:t>
            </w:r>
            <w:r>
              <w:rPr>
                <w:color w:val="0000FF"/>
                <w:u w:val="single"/>
                <w:bdr w:val="double" w:sz="2" w:space="1" w:color="000000"/>
              </w:rPr>
              <w:t>130</w:t>
            </w:r>
          </w:p>
        </w:tc>
        <w:tc>
          <w:tcPr>
            <w:tcW w:w="64" w:type="dxa"/>
            <w:tcBorders/>
            <w:vAlign w:val="bottom"/>
          </w:tcPr>
          <w:p>
            <w:pPr>
              <w:pStyle w:val="TableContents"/>
              <w:bidi w:val="0"/>
              <w:spacing w:before="0" w:after="283"/>
              <w:jc w:val="left"/>
              <w:rPr/>
            </w:pPr>
            <w:r>
              <w:rPr/>
              <w:t> </w:t>
            </w:r>
          </w:p>
        </w:tc>
      </w:tr>
      <w:tr>
        <w:trPr/>
        <w:tc>
          <w:tcPr>
            <w:tcW w:w="1408" w:type="dxa"/>
            <w:tcBorders/>
          </w:tcPr>
          <w:p>
            <w:pPr>
              <w:pStyle w:val="TableContents"/>
              <w:bidi w:val="0"/>
              <w:spacing w:before="0" w:after="0"/>
              <w:jc w:val="left"/>
              <w:rPr>
                <w:rFonts w:ascii="Times New Roman" w:hAnsi="Times New Roman"/>
                <w:sz w:val="20"/>
              </w:rPr>
            </w:pPr>
            <w:r>
              <w:rPr>
                <w:rFonts w:ascii="Times New Roman" w:hAnsi="Times New Roman"/>
                <w:sz w:val="20"/>
              </w:rPr>
              <w:t>SECTION 10.06</w:t>
            </w:r>
          </w:p>
        </w:tc>
        <w:tc>
          <w:tcPr>
            <w:tcW w:w="66" w:type="dxa"/>
            <w:tcBorders/>
            <w:vAlign w:val="bottom"/>
          </w:tcPr>
          <w:p>
            <w:pPr>
              <w:pStyle w:val="TableContents"/>
              <w:bidi w:val="0"/>
              <w:spacing w:before="0" w:after="283"/>
              <w:jc w:val="left"/>
              <w:rPr/>
            </w:pPr>
            <w:r>
              <w:rPr/>
              <w:t> </w:t>
            </w:r>
          </w:p>
        </w:tc>
        <w:tc>
          <w:tcPr>
            <w:tcW w:w="7745" w:type="dxa"/>
            <w:tcBorders/>
            <w:vAlign w:val="bottom"/>
          </w:tcPr>
          <w:p>
            <w:pPr>
              <w:pStyle w:val="TableContents"/>
              <w:bidi w:val="0"/>
              <w:spacing w:before="0" w:after="283"/>
              <w:jc w:val="left"/>
              <w:rPr>
                <w:b/>
              </w:rPr>
            </w:pPr>
            <w:r>
              <w:rPr>
                <w:b/>
              </w:rPr>
              <w:t>Resignation of Administrative Agent</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128</w:t>
            </w:r>
            <w:r>
              <w:rPr>
                <w:color w:val="0000FF"/>
                <w:u w:val="single"/>
                <w:bdr w:val="double" w:sz="2" w:space="1" w:color="000000"/>
              </w:rPr>
              <w:t>131</w:t>
            </w:r>
          </w:p>
        </w:tc>
        <w:tc>
          <w:tcPr>
            <w:tcW w:w="64" w:type="dxa"/>
            <w:tcBorders/>
            <w:vAlign w:val="bottom"/>
          </w:tcPr>
          <w:p>
            <w:pPr>
              <w:pStyle w:val="TableContents"/>
              <w:bidi w:val="0"/>
              <w:spacing w:before="0" w:after="283"/>
              <w:jc w:val="left"/>
              <w:rPr/>
            </w:pPr>
            <w:r>
              <w:rPr/>
              <w:t> </w:t>
            </w:r>
          </w:p>
        </w:tc>
      </w:tr>
      <w:tr>
        <w:trPr/>
        <w:tc>
          <w:tcPr>
            <w:tcW w:w="1408" w:type="dxa"/>
            <w:tcBorders/>
          </w:tcPr>
          <w:p>
            <w:pPr>
              <w:pStyle w:val="TableContents"/>
              <w:bidi w:val="0"/>
              <w:spacing w:before="0" w:after="0"/>
              <w:jc w:val="left"/>
              <w:rPr>
                <w:rFonts w:ascii="Times New Roman" w:hAnsi="Times New Roman"/>
                <w:sz w:val="20"/>
              </w:rPr>
            </w:pPr>
            <w:r>
              <w:rPr>
                <w:rFonts w:ascii="Times New Roman" w:hAnsi="Times New Roman"/>
                <w:sz w:val="20"/>
              </w:rPr>
              <w:t>SECTION 10.07</w:t>
            </w:r>
          </w:p>
        </w:tc>
        <w:tc>
          <w:tcPr>
            <w:tcW w:w="66" w:type="dxa"/>
            <w:tcBorders/>
            <w:vAlign w:val="bottom"/>
          </w:tcPr>
          <w:p>
            <w:pPr>
              <w:pStyle w:val="TableContents"/>
              <w:bidi w:val="0"/>
              <w:spacing w:before="0" w:after="283"/>
              <w:jc w:val="left"/>
              <w:rPr/>
            </w:pPr>
            <w:r>
              <w:rPr/>
              <w:t> </w:t>
            </w:r>
          </w:p>
        </w:tc>
        <w:tc>
          <w:tcPr>
            <w:tcW w:w="7745" w:type="dxa"/>
            <w:tcBorders/>
            <w:vAlign w:val="bottom"/>
          </w:tcPr>
          <w:p>
            <w:pPr>
              <w:pStyle w:val="TableContents"/>
              <w:bidi w:val="0"/>
              <w:spacing w:before="0" w:after="283"/>
              <w:jc w:val="left"/>
              <w:rPr>
                <w:b/>
              </w:rPr>
            </w:pPr>
            <w:r>
              <w:rPr>
                <w:b/>
              </w:rPr>
              <w:t>Non-Reliance on Administrative Agent and Other Lenders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129</w:t>
            </w:r>
            <w:r>
              <w:rPr>
                <w:color w:val="0000FF"/>
                <w:u w:val="single"/>
                <w:bdr w:val="double" w:sz="2" w:space="1" w:color="000000"/>
              </w:rPr>
              <w:t>132</w:t>
            </w:r>
          </w:p>
        </w:tc>
        <w:tc>
          <w:tcPr>
            <w:tcW w:w="64" w:type="dxa"/>
            <w:tcBorders/>
            <w:vAlign w:val="bottom"/>
          </w:tcPr>
          <w:p>
            <w:pPr>
              <w:pStyle w:val="TableContents"/>
              <w:bidi w:val="0"/>
              <w:spacing w:before="0" w:after="283"/>
              <w:jc w:val="left"/>
              <w:rPr/>
            </w:pPr>
            <w:r>
              <w:rPr/>
              <w:t> </w:t>
            </w:r>
          </w:p>
        </w:tc>
      </w:tr>
      <w:tr>
        <w:trPr/>
        <w:tc>
          <w:tcPr>
            <w:tcW w:w="1408" w:type="dxa"/>
            <w:tcBorders/>
          </w:tcPr>
          <w:p>
            <w:pPr>
              <w:pStyle w:val="TableContents"/>
              <w:bidi w:val="0"/>
              <w:spacing w:before="0" w:after="0"/>
              <w:jc w:val="left"/>
              <w:rPr>
                <w:rFonts w:ascii="Times New Roman" w:hAnsi="Times New Roman"/>
                <w:sz w:val="20"/>
              </w:rPr>
            </w:pPr>
            <w:r>
              <w:rPr>
                <w:rFonts w:ascii="Times New Roman" w:hAnsi="Times New Roman"/>
                <w:sz w:val="20"/>
              </w:rPr>
              <w:t>SECTION 10.08</w:t>
            </w:r>
          </w:p>
        </w:tc>
        <w:tc>
          <w:tcPr>
            <w:tcW w:w="66" w:type="dxa"/>
            <w:tcBorders/>
            <w:vAlign w:val="bottom"/>
          </w:tcPr>
          <w:p>
            <w:pPr>
              <w:pStyle w:val="TableContents"/>
              <w:bidi w:val="0"/>
              <w:spacing w:before="0" w:after="283"/>
              <w:jc w:val="left"/>
              <w:rPr/>
            </w:pPr>
            <w:r>
              <w:rPr/>
              <w:t> </w:t>
            </w:r>
          </w:p>
        </w:tc>
        <w:tc>
          <w:tcPr>
            <w:tcW w:w="7745" w:type="dxa"/>
            <w:tcBorders/>
            <w:vAlign w:val="bottom"/>
          </w:tcPr>
          <w:p>
            <w:pPr>
              <w:pStyle w:val="TableContents"/>
              <w:bidi w:val="0"/>
              <w:spacing w:before="0" w:after="283"/>
              <w:jc w:val="left"/>
              <w:rPr>
                <w:b/>
              </w:rPr>
            </w:pPr>
            <w:r>
              <w:rPr>
                <w:b/>
              </w:rPr>
              <w:t>No Other Duties, Etc.</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129</w:t>
            </w:r>
            <w:r>
              <w:rPr>
                <w:color w:val="0000FF"/>
                <w:u w:val="single"/>
                <w:bdr w:val="double" w:sz="2" w:space="1" w:color="000000"/>
              </w:rPr>
              <w:t>132</w:t>
            </w:r>
          </w:p>
        </w:tc>
        <w:tc>
          <w:tcPr>
            <w:tcW w:w="64" w:type="dxa"/>
            <w:tcBorders/>
            <w:vAlign w:val="bottom"/>
          </w:tcPr>
          <w:p>
            <w:pPr>
              <w:pStyle w:val="TableContents"/>
              <w:bidi w:val="0"/>
              <w:spacing w:before="0" w:after="283"/>
              <w:jc w:val="left"/>
              <w:rPr/>
            </w:pPr>
            <w:r>
              <w:rPr/>
              <w:t> </w:t>
            </w:r>
          </w:p>
        </w:tc>
      </w:tr>
      <w:tr>
        <w:trPr/>
        <w:tc>
          <w:tcPr>
            <w:tcW w:w="1408" w:type="dxa"/>
            <w:tcBorders/>
          </w:tcPr>
          <w:p>
            <w:pPr>
              <w:pStyle w:val="TableContents"/>
              <w:bidi w:val="0"/>
              <w:spacing w:before="0" w:after="0"/>
              <w:jc w:val="left"/>
              <w:rPr>
                <w:rFonts w:ascii="Times New Roman" w:hAnsi="Times New Roman"/>
                <w:sz w:val="20"/>
              </w:rPr>
            </w:pPr>
            <w:r>
              <w:rPr>
                <w:rFonts w:ascii="Times New Roman" w:hAnsi="Times New Roman"/>
                <w:sz w:val="20"/>
              </w:rPr>
              <w:t>SECTION 10.09</w:t>
            </w:r>
          </w:p>
        </w:tc>
        <w:tc>
          <w:tcPr>
            <w:tcW w:w="66" w:type="dxa"/>
            <w:tcBorders/>
            <w:vAlign w:val="bottom"/>
          </w:tcPr>
          <w:p>
            <w:pPr>
              <w:pStyle w:val="TableContents"/>
              <w:bidi w:val="0"/>
              <w:spacing w:before="0" w:after="283"/>
              <w:jc w:val="left"/>
              <w:rPr/>
            </w:pPr>
            <w:r>
              <w:rPr/>
              <w:t> </w:t>
            </w:r>
          </w:p>
        </w:tc>
        <w:tc>
          <w:tcPr>
            <w:tcW w:w="7745" w:type="dxa"/>
            <w:tcBorders/>
            <w:vAlign w:val="bottom"/>
          </w:tcPr>
          <w:p>
            <w:pPr>
              <w:pStyle w:val="TableContents"/>
              <w:bidi w:val="0"/>
              <w:spacing w:before="0" w:after="283"/>
              <w:jc w:val="left"/>
              <w:rPr>
                <w:b/>
              </w:rPr>
            </w:pPr>
            <w:r>
              <w:rPr>
                <w:b/>
              </w:rPr>
              <w:t>Administrative Agent May File Proofs of Claim</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129</w:t>
            </w:r>
            <w:r>
              <w:rPr>
                <w:color w:val="0000FF"/>
                <w:u w:val="single"/>
                <w:bdr w:val="double" w:sz="2" w:space="1" w:color="000000"/>
              </w:rPr>
              <w:t>132</w:t>
            </w:r>
          </w:p>
        </w:tc>
        <w:tc>
          <w:tcPr>
            <w:tcW w:w="64" w:type="dxa"/>
            <w:tcBorders/>
            <w:vAlign w:val="bottom"/>
          </w:tcPr>
          <w:p>
            <w:pPr>
              <w:pStyle w:val="TableContents"/>
              <w:bidi w:val="0"/>
              <w:spacing w:before="0" w:after="283"/>
              <w:jc w:val="left"/>
              <w:rPr/>
            </w:pPr>
            <w:r>
              <w:rPr/>
              <w:t> </w:t>
            </w:r>
          </w:p>
        </w:tc>
      </w:tr>
      <w:tr>
        <w:trPr/>
        <w:tc>
          <w:tcPr>
            <w:tcW w:w="1408" w:type="dxa"/>
            <w:tcBorders/>
          </w:tcPr>
          <w:p>
            <w:pPr>
              <w:pStyle w:val="TableContents"/>
              <w:bidi w:val="0"/>
              <w:spacing w:before="0" w:after="0"/>
              <w:jc w:val="left"/>
              <w:rPr>
                <w:rFonts w:ascii="Times New Roman" w:hAnsi="Times New Roman"/>
                <w:sz w:val="20"/>
              </w:rPr>
            </w:pPr>
            <w:r>
              <w:rPr>
                <w:rFonts w:ascii="Times New Roman" w:hAnsi="Times New Roman"/>
                <w:sz w:val="20"/>
              </w:rPr>
              <w:t>SECTION 10.10</w:t>
            </w:r>
          </w:p>
        </w:tc>
        <w:tc>
          <w:tcPr>
            <w:tcW w:w="66" w:type="dxa"/>
            <w:tcBorders/>
            <w:vAlign w:val="bottom"/>
          </w:tcPr>
          <w:p>
            <w:pPr>
              <w:pStyle w:val="TableContents"/>
              <w:bidi w:val="0"/>
              <w:spacing w:before="0" w:after="283"/>
              <w:jc w:val="left"/>
              <w:rPr/>
            </w:pPr>
            <w:r>
              <w:rPr/>
              <w:t> </w:t>
            </w:r>
          </w:p>
        </w:tc>
        <w:tc>
          <w:tcPr>
            <w:tcW w:w="7745" w:type="dxa"/>
            <w:tcBorders/>
            <w:vAlign w:val="bottom"/>
          </w:tcPr>
          <w:p>
            <w:pPr>
              <w:pStyle w:val="TableContents"/>
              <w:bidi w:val="0"/>
              <w:spacing w:before="0" w:after="283"/>
              <w:jc w:val="left"/>
              <w:rPr>
                <w:b/>
              </w:rPr>
            </w:pPr>
            <w:r>
              <w:rPr>
                <w:b/>
              </w:rPr>
              <w:t>Collateral and Guaranty Matters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130</w:t>
            </w:r>
            <w:r>
              <w:rPr>
                <w:color w:val="0000FF"/>
                <w:u w:val="single"/>
                <w:bdr w:val="double" w:sz="2" w:space="1" w:color="000000"/>
              </w:rPr>
              <w:t>133</w:t>
            </w:r>
          </w:p>
        </w:tc>
        <w:tc>
          <w:tcPr>
            <w:tcW w:w="64" w:type="dxa"/>
            <w:tcBorders/>
            <w:vAlign w:val="bottom"/>
          </w:tcPr>
          <w:p>
            <w:pPr>
              <w:pStyle w:val="TableContents"/>
              <w:bidi w:val="0"/>
              <w:spacing w:before="0" w:after="283"/>
              <w:jc w:val="left"/>
              <w:rPr/>
            </w:pPr>
            <w:r>
              <w:rPr/>
              <w:t> </w:t>
            </w:r>
          </w:p>
        </w:tc>
      </w:tr>
      <w:tr>
        <w:trPr/>
        <w:tc>
          <w:tcPr>
            <w:tcW w:w="1408" w:type="dxa"/>
            <w:tcBorders/>
          </w:tcPr>
          <w:p>
            <w:pPr>
              <w:pStyle w:val="TableContents"/>
              <w:bidi w:val="0"/>
              <w:spacing w:before="0" w:after="0"/>
              <w:jc w:val="left"/>
              <w:rPr>
                <w:rFonts w:ascii="Times New Roman" w:hAnsi="Times New Roman"/>
                <w:sz w:val="20"/>
              </w:rPr>
            </w:pPr>
            <w:r>
              <w:rPr>
                <w:rFonts w:ascii="Times New Roman" w:hAnsi="Times New Roman"/>
                <w:sz w:val="20"/>
              </w:rPr>
              <w:t>SECTION 10.11</w:t>
            </w:r>
          </w:p>
        </w:tc>
        <w:tc>
          <w:tcPr>
            <w:tcW w:w="66" w:type="dxa"/>
            <w:tcBorders/>
            <w:vAlign w:val="bottom"/>
          </w:tcPr>
          <w:p>
            <w:pPr>
              <w:pStyle w:val="TableContents"/>
              <w:bidi w:val="0"/>
              <w:spacing w:before="0" w:after="283"/>
              <w:jc w:val="left"/>
              <w:rPr/>
            </w:pPr>
            <w:r>
              <w:rPr/>
              <w:t> </w:t>
            </w:r>
          </w:p>
        </w:tc>
        <w:tc>
          <w:tcPr>
            <w:tcW w:w="7745" w:type="dxa"/>
            <w:tcBorders/>
            <w:vAlign w:val="bottom"/>
          </w:tcPr>
          <w:p>
            <w:pPr>
              <w:pStyle w:val="TableContents"/>
              <w:bidi w:val="0"/>
              <w:spacing w:before="0" w:after="283"/>
              <w:jc w:val="left"/>
              <w:rPr>
                <w:b/>
              </w:rPr>
            </w:pPr>
            <w:r>
              <w:rPr>
                <w:b/>
              </w:rPr>
              <w:t>No Reliance on Administrative Agent’s Customer Identification Program</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130</w:t>
            </w:r>
            <w:r>
              <w:rPr>
                <w:color w:val="0000FF"/>
                <w:u w:val="single"/>
                <w:bdr w:val="double" w:sz="2" w:space="1" w:color="000000"/>
              </w:rPr>
              <w:t>133</w:t>
            </w:r>
          </w:p>
        </w:tc>
        <w:tc>
          <w:tcPr>
            <w:tcW w:w="64" w:type="dxa"/>
            <w:tcBorders/>
            <w:vAlign w:val="bottom"/>
          </w:tcPr>
          <w:p>
            <w:pPr>
              <w:pStyle w:val="TableContents"/>
              <w:bidi w:val="0"/>
              <w:spacing w:before="0" w:after="283"/>
              <w:jc w:val="left"/>
              <w:rPr/>
            </w:pPr>
            <w:r>
              <w:rPr/>
              <w:t> </w:t>
            </w:r>
          </w:p>
        </w:tc>
      </w:tr>
      <w:tr>
        <w:trPr/>
        <w:tc>
          <w:tcPr>
            <w:tcW w:w="1408" w:type="dxa"/>
            <w:tcBorders/>
          </w:tcPr>
          <w:p>
            <w:pPr>
              <w:pStyle w:val="TableContents"/>
              <w:bidi w:val="0"/>
              <w:spacing w:before="0" w:after="0"/>
              <w:jc w:val="left"/>
              <w:rPr>
                <w:rFonts w:ascii="Times New Roman" w:hAnsi="Times New Roman"/>
                <w:sz w:val="20"/>
              </w:rPr>
            </w:pPr>
            <w:r>
              <w:rPr>
                <w:rFonts w:ascii="Times New Roman" w:hAnsi="Times New Roman"/>
                <w:sz w:val="20"/>
              </w:rPr>
              <w:t>SECTION 10.12</w:t>
            </w:r>
          </w:p>
        </w:tc>
        <w:tc>
          <w:tcPr>
            <w:tcW w:w="66" w:type="dxa"/>
            <w:tcBorders/>
            <w:vAlign w:val="bottom"/>
          </w:tcPr>
          <w:p>
            <w:pPr>
              <w:pStyle w:val="TableContents"/>
              <w:bidi w:val="0"/>
              <w:spacing w:before="0" w:after="283"/>
              <w:jc w:val="left"/>
              <w:rPr/>
            </w:pPr>
            <w:r>
              <w:rPr/>
              <w:t> </w:t>
            </w:r>
          </w:p>
        </w:tc>
        <w:tc>
          <w:tcPr>
            <w:tcW w:w="7745" w:type="dxa"/>
            <w:tcBorders/>
            <w:vAlign w:val="bottom"/>
          </w:tcPr>
          <w:p>
            <w:pPr>
              <w:pStyle w:val="TableContents"/>
              <w:bidi w:val="0"/>
              <w:spacing w:before="0" w:after="283"/>
              <w:jc w:val="left"/>
              <w:rPr>
                <w:b/>
              </w:rPr>
            </w:pPr>
            <w:r>
              <w:rPr>
                <w:b/>
              </w:rPr>
              <w:t>ERISA Matters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131</w:t>
            </w:r>
            <w:r>
              <w:rPr>
                <w:color w:val="0000FF"/>
                <w:u w:val="single"/>
                <w:bdr w:val="double" w:sz="2" w:space="1" w:color="000000"/>
              </w:rPr>
              <w:t>133</w:t>
            </w:r>
          </w:p>
        </w:tc>
        <w:tc>
          <w:tcPr>
            <w:tcW w:w="64" w:type="dxa"/>
            <w:tcBorders/>
            <w:vAlign w:val="bottom"/>
          </w:tcPr>
          <w:p>
            <w:pPr>
              <w:pStyle w:val="TableContents"/>
              <w:bidi w:val="0"/>
              <w:spacing w:before="0" w:after="283"/>
              <w:jc w:val="left"/>
              <w:rPr/>
            </w:pPr>
            <w:r>
              <w:rPr/>
              <w:t> </w:t>
            </w:r>
          </w:p>
        </w:tc>
      </w:tr>
      <w:tr>
        <w:trPr/>
        <w:tc>
          <w:tcPr>
            <w:tcW w:w="1408" w:type="dxa"/>
            <w:tcBorders/>
          </w:tcPr>
          <w:p>
            <w:pPr>
              <w:pStyle w:val="TableContents"/>
              <w:bidi w:val="0"/>
              <w:spacing w:before="0" w:after="0"/>
              <w:jc w:val="left"/>
              <w:rPr>
                <w:rFonts w:ascii="Times New Roman" w:hAnsi="Times New Roman"/>
                <w:sz w:val="20"/>
              </w:rPr>
            </w:pPr>
            <w:r>
              <w:rPr>
                <w:rFonts w:ascii="Times New Roman" w:hAnsi="Times New Roman"/>
                <w:sz w:val="20"/>
              </w:rPr>
              <w:t>SECTION 10.13</w:t>
            </w:r>
          </w:p>
        </w:tc>
        <w:tc>
          <w:tcPr>
            <w:tcW w:w="66" w:type="dxa"/>
            <w:tcBorders/>
            <w:vAlign w:val="bottom"/>
          </w:tcPr>
          <w:p>
            <w:pPr>
              <w:pStyle w:val="TableContents"/>
              <w:bidi w:val="0"/>
              <w:spacing w:before="0" w:after="283"/>
              <w:jc w:val="left"/>
              <w:rPr/>
            </w:pPr>
            <w:r>
              <w:rPr/>
              <w:t> </w:t>
            </w:r>
          </w:p>
        </w:tc>
        <w:tc>
          <w:tcPr>
            <w:tcW w:w="7745" w:type="dxa"/>
            <w:tcBorders/>
            <w:vAlign w:val="bottom"/>
          </w:tcPr>
          <w:p>
            <w:pPr>
              <w:pStyle w:val="TableContents"/>
              <w:bidi w:val="0"/>
              <w:spacing w:before="0" w:after="283"/>
              <w:jc w:val="left"/>
              <w:rPr>
                <w:b/>
              </w:rPr>
            </w:pPr>
            <w:r>
              <w:rPr>
                <w:b/>
              </w:rPr>
              <w:t>Erroneous Payments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133</w:t>
            </w:r>
            <w:r>
              <w:rPr>
                <w:color w:val="0000FF"/>
                <w:u w:val="single"/>
                <w:bdr w:val="double" w:sz="2" w:space="1" w:color="000000"/>
              </w:rPr>
              <w:t>135</w:t>
            </w:r>
          </w:p>
        </w:tc>
        <w:tc>
          <w:tcPr>
            <w:tcW w:w="64" w:type="dxa"/>
            <w:tcBorders/>
            <w:vAlign w:val="bottom"/>
          </w:tcPr>
          <w:p>
            <w:pPr>
              <w:pStyle w:val="TableContents"/>
              <w:bidi w:val="0"/>
              <w:spacing w:before="0" w:after="283"/>
              <w:jc w:val="left"/>
              <w:rPr/>
            </w:pPr>
            <w:r>
              <w:rPr/>
              <w:t> </w:t>
            </w:r>
          </w:p>
        </w:tc>
      </w:tr>
      <w:tr>
        <w:trPr/>
        <w:tc>
          <w:tcPr>
            <w:tcW w:w="1408" w:type="dxa"/>
            <w:tcBorders/>
          </w:tcPr>
          <w:p>
            <w:pPr>
              <w:pStyle w:val="TableContents"/>
              <w:bidi w:val="0"/>
              <w:spacing w:before="0" w:after="0"/>
              <w:jc w:val="left"/>
              <w:rPr>
                <w:rFonts w:ascii="Times New Roman" w:hAnsi="Times New Roman"/>
                <w:sz w:val="20"/>
              </w:rPr>
            </w:pPr>
            <w:r>
              <w:rPr>
                <w:rFonts w:ascii="Times New Roman" w:hAnsi="Times New Roman"/>
                <w:sz w:val="20"/>
              </w:rPr>
              <w:t>SECTION 10.14</w:t>
            </w:r>
          </w:p>
        </w:tc>
        <w:tc>
          <w:tcPr>
            <w:tcW w:w="66" w:type="dxa"/>
            <w:tcBorders/>
            <w:vAlign w:val="bottom"/>
          </w:tcPr>
          <w:p>
            <w:pPr>
              <w:pStyle w:val="TableContents"/>
              <w:bidi w:val="0"/>
              <w:spacing w:before="0" w:after="283"/>
              <w:jc w:val="left"/>
              <w:rPr/>
            </w:pPr>
            <w:r>
              <w:rPr/>
              <w:t> </w:t>
            </w:r>
          </w:p>
        </w:tc>
        <w:tc>
          <w:tcPr>
            <w:tcW w:w="7745" w:type="dxa"/>
            <w:tcBorders/>
            <w:vAlign w:val="bottom"/>
          </w:tcPr>
          <w:p>
            <w:pPr>
              <w:pStyle w:val="TableContents"/>
              <w:bidi w:val="0"/>
              <w:spacing w:before="0" w:after="283"/>
              <w:jc w:val="left"/>
              <w:rPr>
                <w:b/>
              </w:rPr>
            </w:pPr>
            <w:r>
              <w:rPr>
                <w:b/>
              </w:rPr>
              <w:t>UK Security Agreement</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135</w:t>
            </w:r>
            <w:r>
              <w:rPr>
                <w:color w:val="0000FF"/>
                <w:u w:val="single"/>
                <w:bdr w:val="double" w:sz="2" w:space="1" w:color="000000"/>
              </w:rPr>
              <w:t>138</w:t>
            </w:r>
          </w:p>
        </w:tc>
        <w:tc>
          <w:tcPr>
            <w:tcW w:w="64" w:type="dxa"/>
            <w:tcBorders/>
            <w:vAlign w:val="bottom"/>
          </w:tcPr>
          <w:p>
            <w:pPr>
              <w:pStyle w:val="TableContents"/>
              <w:bidi w:val="0"/>
              <w:spacing w:before="0" w:after="283"/>
              <w:jc w:val="left"/>
              <w:rPr/>
            </w:pPr>
            <w:r>
              <w:rPr/>
              <w:t> </w:t>
            </w:r>
          </w:p>
        </w:tc>
      </w:tr>
      <w:tr>
        <w:trPr/>
        <w:tc>
          <w:tcPr>
            <w:tcW w:w="9219" w:type="dxa"/>
            <w:gridSpan w:val="3"/>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SECTION 10.15 </w:t>
            </w:r>
            <w:r>
              <w:rPr>
                <w:rFonts w:ascii="Times New Roman" w:hAnsi="Times New Roman"/>
                <w:b/>
                <w:color w:val="0000FF"/>
                <w:sz w:val="20"/>
                <w:u w:val="single"/>
                <w:bdr w:val="double" w:sz="2" w:space="1" w:color="000000"/>
              </w:rPr>
              <w:t>SG Security Agreement</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138</w:t>
            </w:r>
          </w:p>
        </w:tc>
        <w:tc>
          <w:tcPr>
            <w:tcW w:w="64" w:type="dxa"/>
            <w:tcBorders/>
            <w:vAlign w:val="bottom"/>
          </w:tcPr>
          <w:p>
            <w:pPr>
              <w:pStyle w:val="TableContents"/>
              <w:bidi w:val="0"/>
              <w:spacing w:before="0" w:after="283"/>
              <w:jc w:val="left"/>
              <w:rPr/>
            </w:pPr>
            <w:r>
              <w:rPr/>
              <w:t> </w:t>
            </w:r>
          </w:p>
        </w:tc>
      </w:tr>
      <w:tr>
        <w:trPr>
          <w:trHeight w:val="120" w:hRule="atLeast"/>
        </w:trPr>
        <w:tc>
          <w:tcPr>
            <w:tcW w:w="9219" w:type="dxa"/>
            <w:gridSpan w:val="3"/>
            <w:tcBorders/>
            <w:vAlign w:val="center"/>
          </w:tcPr>
          <w:p>
            <w:pPr>
              <w:pStyle w:val="TableContents"/>
              <w:bidi w:val="0"/>
              <w:spacing w:before="0" w:after="283"/>
              <w:jc w:val="left"/>
              <w:rPr>
                <w:sz w:val="4"/>
                <w:szCs w:val="4"/>
              </w:rPr>
            </w:pPr>
            <w:r>
              <w:rPr>
                <w:sz w:val="4"/>
                <w:szCs w:val="4"/>
              </w:rPr>
            </w:r>
          </w:p>
        </w:tc>
        <w:tc>
          <w:tcPr>
            <w:tcW w:w="986" w:type="dxa"/>
            <w:gridSpan w:val="4"/>
            <w:tcBorders/>
            <w:vAlign w:val="center"/>
          </w:tcPr>
          <w:p>
            <w:pPr>
              <w:pStyle w:val="TableContents"/>
              <w:bidi w:val="0"/>
              <w:spacing w:before="0" w:after="283"/>
              <w:jc w:val="left"/>
              <w:rPr>
                <w:sz w:val="4"/>
                <w:szCs w:val="4"/>
              </w:rPr>
            </w:pPr>
            <w:r>
              <w:rPr>
                <w:sz w:val="4"/>
                <w:szCs w:val="4"/>
              </w:rPr>
            </w:r>
          </w:p>
        </w:tc>
      </w:tr>
      <w:tr>
        <w:trPr/>
        <w:tc>
          <w:tcPr>
            <w:tcW w:w="9219"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XI EXPENSES; INDEMNITY; DAMAGE WAIVER</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b/>
              </w:rPr>
            </w:pPr>
            <w:r>
              <w:rPr>
                <w:b/>
                <w:strike/>
                <w:color w:val="FF0000"/>
              </w:rPr>
              <w:t>135</w:t>
            </w:r>
            <w:r>
              <w:rPr>
                <w:b/>
                <w:color w:val="0000FF"/>
                <w:u w:val="single"/>
                <w:bdr w:val="double" w:sz="2" w:space="1" w:color="000000"/>
              </w:rPr>
              <w:t>138</w:t>
            </w:r>
          </w:p>
        </w:tc>
        <w:tc>
          <w:tcPr>
            <w:tcW w:w="64" w:type="dxa"/>
            <w:tcBorders/>
            <w:vAlign w:val="bottom"/>
          </w:tcPr>
          <w:p>
            <w:pPr>
              <w:pStyle w:val="TableContents"/>
              <w:bidi w:val="0"/>
              <w:spacing w:before="0" w:after="283"/>
              <w:jc w:val="left"/>
              <w:rPr/>
            </w:pPr>
            <w:r>
              <w:rPr/>
              <w:t> </w:t>
            </w:r>
          </w:p>
        </w:tc>
      </w:tr>
      <w:tr>
        <w:trPr>
          <w:trHeight w:val="120" w:hRule="atLeast"/>
        </w:trPr>
        <w:tc>
          <w:tcPr>
            <w:tcW w:w="1408" w:type="dxa"/>
            <w:tcBorders/>
            <w:vAlign w:val="center"/>
          </w:tcPr>
          <w:p>
            <w:pPr>
              <w:pStyle w:val="TableContents"/>
              <w:bidi w:val="0"/>
              <w:spacing w:before="0" w:after="283"/>
              <w:jc w:val="left"/>
              <w:rPr>
                <w:sz w:val="4"/>
                <w:szCs w:val="4"/>
              </w:rPr>
            </w:pPr>
            <w:r>
              <w:rPr>
                <w:sz w:val="4"/>
                <w:szCs w:val="4"/>
              </w:rPr>
            </w:r>
          </w:p>
        </w:tc>
        <w:tc>
          <w:tcPr>
            <w:tcW w:w="7811" w:type="dxa"/>
            <w:gridSpan w:val="2"/>
            <w:tcBorders/>
            <w:vAlign w:val="center"/>
          </w:tcPr>
          <w:p>
            <w:pPr>
              <w:pStyle w:val="TableContents"/>
              <w:bidi w:val="0"/>
              <w:spacing w:before="0" w:after="283"/>
              <w:jc w:val="left"/>
              <w:rPr>
                <w:sz w:val="4"/>
                <w:szCs w:val="4"/>
              </w:rPr>
            </w:pPr>
            <w:r>
              <w:rPr>
                <w:sz w:val="4"/>
                <w:szCs w:val="4"/>
              </w:rPr>
            </w:r>
          </w:p>
        </w:tc>
        <w:tc>
          <w:tcPr>
            <w:tcW w:w="986" w:type="dxa"/>
            <w:gridSpan w:val="4"/>
            <w:tcBorders/>
            <w:vAlign w:val="center"/>
          </w:tcPr>
          <w:p>
            <w:pPr>
              <w:pStyle w:val="TableContents"/>
              <w:bidi w:val="0"/>
              <w:spacing w:before="0" w:after="283"/>
              <w:jc w:val="left"/>
              <w:rPr>
                <w:sz w:val="4"/>
                <w:szCs w:val="4"/>
              </w:rPr>
            </w:pPr>
            <w:r>
              <w:rPr>
                <w:sz w:val="4"/>
                <w:szCs w:val="4"/>
              </w:rPr>
            </w:r>
          </w:p>
        </w:tc>
      </w:tr>
      <w:tr>
        <w:trPr/>
        <w:tc>
          <w:tcPr>
            <w:tcW w:w="1408" w:type="dxa"/>
            <w:tcBorders/>
          </w:tcPr>
          <w:p>
            <w:pPr>
              <w:pStyle w:val="TableContents"/>
              <w:bidi w:val="0"/>
              <w:spacing w:before="0" w:after="0"/>
              <w:jc w:val="left"/>
              <w:rPr>
                <w:rFonts w:ascii="Times New Roman" w:hAnsi="Times New Roman"/>
                <w:sz w:val="20"/>
              </w:rPr>
            </w:pPr>
            <w:r>
              <w:rPr>
                <w:rFonts w:ascii="Times New Roman" w:hAnsi="Times New Roman"/>
                <w:sz w:val="20"/>
              </w:rPr>
              <w:t>SECTION 11.01</w:t>
            </w:r>
          </w:p>
        </w:tc>
        <w:tc>
          <w:tcPr>
            <w:tcW w:w="66" w:type="dxa"/>
            <w:tcBorders/>
            <w:vAlign w:val="bottom"/>
          </w:tcPr>
          <w:p>
            <w:pPr>
              <w:pStyle w:val="TableContents"/>
              <w:bidi w:val="0"/>
              <w:spacing w:before="0" w:after="283"/>
              <w:jc w:val="left"/>
              <w:rPr/>
            </w:pPr>
            <w:r>
              <w:rPr/>
              <w:t> </w:t>
            </w:r>
          </w:p>
        </w:tc>
        <w:tc>
          <w:tcPr>
            <w:tcW w:w="7745" w:type="dxa"/>
            <w:tcBorders/>
          </w:tcPr>
          <w:p>
            <w:pPr>
              <w:pStyle w:val="TableContents"/>
              <w:bidi w:val="0"/>
              <w:spacing w:before="0" w:after="0"/>
              <w:jc w:val="left"/>
              <w:rPr>
                <w:rFonts w:ascii="Times New Roman" w:hAnsi="Times New Roman"/>
                <w:b/>
                <w:sz w:val="20"/>
              </w:rPr>
            </w:pPr>
            <w:r>
              <w:rPr>
                <w:rFonts w:ascii="Times New Roman" w:hAnsi="Times New Roman"/>
                <w:b/>
                <w:sz w:val="20"/>
              </w:rPr>
              <w:t>Costs and Expenses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135</w:t>
            </w:r>
            <w:r>
              <w:rPr>
                <w:color w:val="0000FF"/>
                <w:u w:val="single"/>
                <w:bdr w:val="double" w:sz="2" w:space="1" w:color="000000"/>
              </w:rPr>
              <w:t>138</w:t>
            </w:r>
          </w:p>
        </w:tc>
        <w:tc>
          <w:tcPr>
            <w:tcW w:w="64" w:type="dxa"/>
            <w:tcBorders/>
            <w:vAlign w:val="bottom"/>
          </w:tcPr>
          <w:p>
            <w:pPr>
              <w:pStyle w:val="TableContents"/>
              <w:bidi w:val="0"/>
              <w:spacing w:before="0" w:after="283"/>
              <w:jc w:val="left"/>
              <w:rPr/>
            </w:pPr>
            <w:r>
              <w:rPr/>
              <w:t> </w:t>
            </w:r>
          </w:p>
        </w:tc>
      </w:tr>
      <w:tr>
        <w:trPr/>
        <w:tc>
          <w:tcPr>
            <w:tcW w:w="1408" w:type="dxa"/>
            <w:tcBorders/>
          </w:tcPr>
          <w:p>
            <w:pPr>
              <w:pStyle w:val="TableContents"/>
              <w:bidi w:val="0"/>
              <w:spacing w:before="0" w:after="0"/>
              <w:jc w:val="left"/>
              <w:rPr>
                <w:rFonts w:ascii="Times New Roman" w:hAnsi="Times New Roman"/>
                <w:sz w:val="20"/>
              </w:rPr>
            </w:pPr>
            <w:r>
              <w:rPr>
                <w:rFonts w:ascii="Times New Roman" w:hAnsi="Times New Roman"/>
                <w:sz w:val="20"/>
              </w:rPr>
              <w:t>SECTION 11.02</w:t>
            </w:r>
          </w:p>
        </w:tc>
        <w:tc>
          <w:tcPr>
            <w:tcW w:w="66" w:type="dxa"/>
            <w:tcBorders/>
            <w:vAlign w:val="bottom"/>
          </w:tcPr>
          <w:p>
            <w:pPr>
              <w:pStyle w:val="TableContents"/>
              <w:bidi w:val="0"/>
              <w:spacing w:before="0" w:after="283"/>
              <w:jc w:val="left"/>
              <w:rPr/>
            </w:pPr>
            <w:r>
              <w:rPr/>
              <w:t> </w:t>
            </w:r>
          </w:p>
        </w:tc>
        <w:tc>
          <w:tcPr>
            <w:tcW w:w="7745" w:type="dxa"/>
            <w:tcBorders/>
            <w:vAlign w:val="bottom"/>
          </w:tcPr>
          <w:p>
            <w:pPr>
              <w:pStyle w:val="TableContents"/>
              <w:bidi w:val="0"/>
              <w:spacing w:before="0" w:after="283"/>
              <w:jc w:val="left"/>
              <w:rPr>
                <w:b/>
              </w:rPr>
            </w:pPr>
            <w:r>
              <w:rPr>
                <w:b/>
              </w:rPr>
              <w:t>Indemnification by the Borrower</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136</w:t>
            </w:r>
            <w:r>
              <w:rPr>
                <w:color w:val="0000FF"/>
                <w:u w:val="single"/>
                <w:bdr w:val="double" w:sz="2" w:space="1" w:color="000000"/>
              </w:rPr>
              <w:t>139</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70"/>
        <w:gridCol w:w="63"/>
        <w:gridCol w:w="7789"/>
        <w:gridCol w:w="121"/>
        <w:gridCol w:w="60"/>
        <w:gridCol w:w="740"/>
        <w:gridCol w:w="62"/>
      </w:tblGrid>
      <w:tr>
        <w:trPr/>
        <w:tc>
          <w:tcPr>
            <w:tcW w:w="1370"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778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22" w:type="dxa"/>
            <w:gridSpan w:val="3"/>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00"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11.03</w:t>
            </w:r>
          </w:p>
        </w:tc>
        <w:tc>
          <w:tcPr>
            <w:tcW w:w="63" w:type="dxa"/>
            <w:tcBorders/>
            <w:vAlign w:val="bottom"/>
          </w:tcPr>
          <w:p>
            <w:pPr>
              <w:pStyle w:val="TableContents"/>
              <w:bidi w:val="0"/>
              <w:spacing w:before="0" w:after="283"/>
              <w:jc w:val="left"/>
              <w:rPr/>
            </w:pPr>
            <w:r>
              <w:rPr/>
              <w:t> </w:t>
            </w:r>
          </w:p>
        </w:tc>
        <w:tc>
          <w:tcPr>
            <w:tcW w:w="7789" w:type="dxa"/>
            <w:tcBorders/>
            <w:vAlign w:val="bottom"/>
          </w:tcPr>
          <w:p>
            <w:pPr>
              <w:pStyle w:val="TableContents"/>
              <w:bidi w:val="0"/>
              <w:spacing w:before="0" w:after="283"/>
              <w:jc w:val="left"/>
              <w:rPr>
                <w:b/>
              </w:rPr>
            </w:pPr>
            <w:r>
              <w:rPr>
                <w:b/>
              </w:rPr>
              <w:t>Indemnification by the Servicers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138</w:t>
            </w:r>
            <w:r>
              <w:rPr>
                <w:color w:val="0000FF"/>
                <w:u w:val="single"/>
                <w:bdr w:val="double" w:sz="2" w:space="1" w:color="000000"/>
              </w:rPr>
              <w:t>141</w:t>
            </w:r>
          </w:p>
        </w:tc>
        <w:tc>
          <w:tcPr>
            <w:tcW w:w="62"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11.04</w:t>
            </w:r>
          </w:p>
        </w:tc>
        <w:tc>
          <w:tcPr>
            <w:tcW w:w="63" w:type="dxa"/>
            <w:tcBorders/>
            <w:vAlign w:val="bottom"/>
          </w:tcPr>
          <w:p>
            <w:pPr>
              <w:pStyle w:val="TableContents"/>
              <w:bidi w:val="0"/>
              <w:spacing w:before="0" w:after="283"/>
              <w:jc w:val="left"/>
              <w:rPr/>
            </w:pPr>
            <w:r>
              <w:rPr/>
              <w:t> </w:t>
            </w:r>
          </w:p>
        </w:tc>
        <w:tc>
          <w:tcPr>
            <w:tcW w:w="7789" w:type="dxa"/>
            <w:tcBorders/>
            <w:vAlign w:val="bottom"/>
          </w:tcPr>
          <w:p>
            <w:pPr>
              <w:pStyle w:val="TableContents"/>
              <w:bidi w:val="0"/>
              <w:spacing w:before="0" w:after="283"/>
              <w:jc w:val="left"/>
              <w:rPr>
                <w:b/>
              </w:rPr>
            </w:pPr>
            <w:r>
              <w:rPr>
                <w:b/>
              </w:rPr>
              <w:t>Currency Indemnity</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140</w:t>
            </w:r>
            <w:r>
              <w:rPr>
                <w:color w:val="0000FF"/>
                <w:u w:val="single"/>
                <w:bdr w:val="double" w:sz="2" w:space="1" w:color="000000"/>
              </w:rPr>
              <w:t>143</w:t>
            </w:r>
          </w:p>
        </w:tc>
        <w:tc>
          <w:tcPr>
            <w:tcW w:w="62"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11.05</w:t>
            </w:r>
          </w:p>
        </w:tc>
        <w:tc>
          <w:tcPr>
            <w:tcW w:w="63" w:type="dxa"/>
            <w:tcBorders/>
            <w:vAlign w:val="bottom"/>
          </w:tcPr>
          <w:p>
            <w:pPr>
              <w:pStyle w:val="TableContents"/>
              <w:bidi w:val="0"/>
              <w:spacing w:before="0" w:after="283"/>
              <w:jc w:val="left"/>
              <w:rPr/>
            </w:pPr>
            <w:r>
              <w:rPr/>
              <w:t> </w:t>
            </w:r>
          </w:p>
        </w:tc>
        <w:tc>
          <w:tcPr>
            <w:tcW w:w="7789" w:type="dxa"/>
            <w:tcBorders/>
            <w:vAlign w:val="bottom"/>
          </w:tcPr>
          <w:p>
            <w:pPr>
              <w:pStyle w:val="TableContents"/>
              <w:bidi w:val="0"/>
              <w:spacing w:before="0" w:after="283"/>
              <w:jc w:val="left"/>
              <w:rPr>
                <w:b/>
              </w:rPr>
            </w:pPr>
            <w:r>
              <w:rPr>
                <w:b/>
              </w:rPr>
              <w:t>Reimbursement by Lenders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140</w:t>
            </w:r>
            <w:r>
              <w:rPr>
                <w:color w:val="0000FF"/>
                <w:u w:val="single"/>
                <w:bdr w:val="double" w:sz="2" w:space="1" w:color="000000"/>
              </w:rPr>
              <w:t>143</w:t>
            </w:r>
          </w:p>
        </w:tc>
        <w:tc>
          <w:tcPr>
            <w:tcW w:w="62"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11.06</w:t>
            </w:r>
          </w:p>
        </w:tc>
        <w:tc>
          <w:tcPr>
            <w:tcW w:w="63" w:type="dxa"/>
            <w:tcBorders/>
            <w:vAlign w:val="bottom"/>
          </w:tcPr>
          <w:p>
            <w:pPr>
              <w:pStyle w:val="TableContents"/>
              <w:bidi w:val="0"/>
              <w:spacing w:before="0" w:after="283"/>
              <w:jc w:val="left"/>
              <w:rPr/>
            </w:pPr>
            <w:r>
              <w:rPr/>
              <w:t> </w:t>
            </w:r>
          </w:p>
        </w:tc>
        <w:tc>
          <w:tcPr>
            <w:tcW w:w="7789" w:type="dxa"/>
            <w:tcBorders/>
            <w:vAlign w:val="bottom"/>
          </w:tcPr>
          <w:p>
            <w:pPr>
              <w:pStyle w:val="TableContents"/>
              <w:bidi w:val="0"/>
              <w:spacing w:before="0" w:after="283"/>
              <w:jc w:val="left"/>
              <w:rPr>
                <w:b/>
              </w:rPr>
            </w:pPr>
            <w:r>
              <w:rPr>
                <w:b/>
              </w:rPr>
              <w:t>Waiver of Consequential Damages, Etc.</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140</w:t>
            </w:r>
            <w:r>
              <w:rPr>
                <w:color w:val="0000FF"/>
                <w:u w:val="single"/>
                <w:bdr w:val="double" w:sz="2" w:space="1" w:color="000000"/>
              </w:rPr>
              <w:t>143</w:t>
            </w:r>
          </w:p>
        </w:tc>
        <w:tc>
          <w:tcPr>
            <w:tcW w:w="62"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11.07</w:t>
            </w:r>
          </w:p>
        </w:tc>
        <w:tc>
          <w:tcPr>
            <w:tcW w:w="63" w:type="dxa"/>
            <w:tcBorders/>
            <w:vAlign w:val="bottom"/>
          </w:tcPr>
          <w:p>
            <w:pPr>
              <w:pStyle w:val="TableContents"/>
              <w:bidi w:val="0"/>
              <w:spacing w:before="0" w:after="283"/>
              <w:jc w:val="left"/>
              <w:rPr/>
            </w:pPr>
            <w:r>
              <w:rPr/>
              <w:t> </w:t>
            </w:r>
          </w:p>
        </w:tc>
        <w:tc>
          <w:tcPr>
            <w:tcW w:w="7789" w:type="dxa"/>
            <w:tcBorders/>
            <w:vAlign w:val="bottom"/>
          </w:tcPr>
          <w:p>
            <w:pPr>
              <w:pStyle w:val="TableContents"/>
              <w:bidi w:val="0"/>
              <w:spacing w:before="0" w:after="283"/>
              <w:jc w:val="left"/>
              <w:rPr>
                <w:b/>
              </w:rPr>
            </w:pPr>
            <w:r>
              <w:rPr>
                <w:b/>
              </w:rPr>
              <w:t>Payments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140</w:t>
            </w:r>
            <w:r>
              <w:rPr>
                <w:color w:val="0000FF"/>
                <w:u w:val="single"/>
                <w:bdr w:val="double" w:sz="2" w:space="1" w:color="000000"/>
              </w:rPr>
              <w:t>144</w:t>
            </w:r>
          </w:p>
        </w:tc>
        <w:tc>
          <w:tcPr>
            <w:tcW w:w="62"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11.08</w:t>
            </w:r>
          </w:p>
        </w:tc>
        <w:tc>
          <w:tcPr>
            <w:tcW w:w="63" w:type="dxa"/>
            <w:tcBorders/>
            <w:vAlign w:val="bottom"/>
          </w:tcPr>
          <w:p>
            <w:pPr>
              <w:pStyle w:val="TableContents"/>
              <w:bidi w:val="0"/>
              <w:spacing w:before="0" w:after="283"/>
              <w:jc w:val="left"/>
              <w:rPr/>
            </w:pPr>
            <w:r>
              <w:rPr/>
              <w:t> </w:t>
            </w:r>
          </w:p>
        </w:tc>
        <w:tc>
          <w:tcPr>
            <w:tcW w:w="7789" w:type="dxa"/>
            <w:tcBorders/>
            <w:vAlign w:val="bottom"/>
          </w:tcPr>
          <w:p>
            <w:pPr>
              <w:pStyle w:val="TableContents"/>
              <w:bidi w:val="0"/>
              <w:spacing w:before="0" w:after="283"/>
              <w:jc w:val="left"/>
              <w:rPr>
                <w:b/>
              </w:rPr>
            </w:pPr>
            <w:r>
              <w:rPr>
                <w:b/>
              </w:rPr>
              <w:t>Survival</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141</w:t>
            </w:r>
            <w:r>
              <w:rPr>
                <w:color w:val="0000FF"/>
                <w:u w:val="single"/>
                <w:bdr w:val="double" w:sz="2" w:space="1" w:color="000000"/>
              </w:rPr>
              <w:t>144</w:t>
            </w:r>
          </w:p>
        </w:tc>
        <w:tc>
          <w:tcPr>
            <w:tcW w:w="62" w:type="dxa"/>
            <w:tcBorders/>
            <w:vAlign w:val="bottom"/>
          </w:tcPr>
          <w:p>
            <w:pPr>
              <w:pStyle w:val="TableContents"/>
              <w:bidi w:val="0"/>
              <w:spacing w:before="0" w:after="283"/>
              <w:jc w:val="left"/>
              <w:rPr/>
            </w:pPr>
            <w:r>
              <w:rPr/>
              <w:t> </w:t>
            </w:r>
          </w:p>
        </w:tc>
      </w:tr>
      <w:tr>
        <w:trPr>
          <w:trHeight w:val="120" w:hRule="atLeast"/>
        </w:trPr>
        <w:tc>
          <w:tcPr>
            <w:tcW w:w="9222" w:type="dxa"/>
            <w:gridSpan w:val="3"/>
            <w:tcBorders/>
            <w:vAlign w:val="center"/>
          </w:tcPr>
          <w:p>
            <w:pPr>
              <w:pStyle w:val="TableContents"/>
              <w:bidi w:val="0"/>
              <w:spacing w:before="0" w:after="283"/>
              <w:jc w:val="left"/>
              <w:rPr>
                <w:sz w:val="4"/>
                <w:szCs w:val="4"/>
              </w:rPr>
            </w:pPr>
            <w:r>
              <w:rPr>
                <w:sz w:val="4"/>
                <w:szCs w:val="4"/>
              </w:rPr>
            </w:r>
          </w:p>
        </w:tc>
        <w:tc>
          <w:tcPr>
            <w:tcW w:w="983" w:type="dxa"/>
            <w:gridSpan w:val="4"/>
            <w:tcBorders/>
            <w:vAlign w:val="center"/>
          </w:tcPr>
          <w:p>
            <w:pPr>
              <w:pStyle w:val="TableContents"/>
              <w:bidi w:val="0"/>
              <w:spacing w:before="0" w:after="283"/>
              <w:jc w:val="left"/>
              <w:rPr>
                <w:sz w:val="4"/>
                <w:szCs w:val="4"/>
              </w:rPr>
            </w:pPr>
            <w:r>
              <w:rPr>
                <w:sz w:val="4"/>
                <w:szCs w:val="4"/>
              </w:rPr>
            </w:r>
          </w:p>
        </w:tc>
      </w:tr>
      <w:tr>
        <w:trPr/>
        <w:tc>
          <w:tcPr>
            <w:tcW w:w="922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XII MISCELLANEOUS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b/>
              </w:rPr>
            </w:pPr>
            <w:r>
              <w:rPr>
                <w:b/>
                <w:strike/>
                <w:color w:val="FF0000"/>
              </w:rPr>
              <w:t>141</w:t>
            </w:r>
            <w:r>
              <w:rPr>
                <w:b/>
                <w:color w:val="0000FF"/>
                <w:u w:val="single"/>
                <w:bdr w:val="double" w:sz="2" w:space="1" w:color="000000"/>
              </w:rPr>
              <w:t>144</w:t>
            </w:r>
          </w:p>
        </w:tc>
        <w:tc>
          <w:tcPr>
            <w:tcW w:w="62" w:type="dxa"/>
            <w:tcBorders/>
            <w:vAlign w:val="bottom"/>
          </w:tcPr>
          <w:p>
            <w:pPr>
              <w:pStyle w:val="TableContents"/>
              <w:bidi w:val="0"/>
              <w:spacing w:before="0" w:after="283"/>
              <w:jc w:val="left"/>
              <w:rPr/>
            </w:pPr>
            <w:r>
              <w:rPr/>
              <w:t> </w:t>
            </w:r>
          </w:p>
        </w:tc>
      </w:tr>
      <w:tr>
        <w:trPr>
          <w:trHeight w:val="120" w:hRule="atLeast"/>
        </w:trPr>
        <w:tc>
          <w:tcPr>
            <w:tcW w:w="1370" w:type="dxa"/>
            <w:tcBorders/>
            <w:vAlign w:val="center"/>
          </w:tcPr>
          <w:p>
            <w:pPr>
              <w:pStyle w:val="TableContents"/>
              <w:bidi w:val="0"/>
              <w:spacing w:before="0" w:after="283"/>
              <w:jc w:val="left"/>
              <w:rPr>
                <w:sz w:val="4"/>
                <w:szCs w:val="4"/>
              </w:rPr>
            </w:pPr>
            <w:r>
              <w:rPr>
                <w:sz w:val="4"/>
                <w:szCs w:val="4"/>
              </w:rPr>
            </w:r>
          </w:p>
        </w:tc>
        <w:tc>
          <w:tcPr>
            <w:tcW w:w="7852" w:type="dxa"/>
            <w:gridSpan w:val="2"/>
            <w:tcBorders/>
            <w:vAlign w:val="center"/>
          </w:tcPr>
          <w:p>
            <w:pPr>
              <w:pStyle w:val="TableContents"/>
              <w:bidi w:val="0"/>
              <w:spacing w:before="0" w:after="283"/>
              <w:jc w:val="left"/>
              <w:rPr>
                <w:sz w:val="4"/>
                <w:szCs w:val="4"/>
              </w:rPr>
            </w:pPr>
            <w:r>
              <w:rPr>
                <w:sz w:val="4"/>
                <w:szCs w:val="4"/>
              </w:rPr>
            </w:r>
          </w:p>
        </w:tc>
        <w:tc>
          <w:tcPr>
            <w:tcW w:w="983" w:type="dxa"/>
            <w:gridSpan w:val="4"/>
            <w:tcBorders/>
            <w:vAlign w:val="center"/>
          </w:tcPr>
          <w:p>
            <w:pPr>
              <w:pStyle w:val="TableContents"/>
              <w:bidi w:val="0"/>
              <w:spacing w:before="0" w:after="283"/>
              <w:jc w:val="left"/>
              <w:rPr>
                <w:sz w:val="4"/>
                <w:szCs w:val="4"/>
              </w:rPr>
            </w:pPr>
            <w:r>
              <w:rPr>
                <w:sz w:val="4"/>
                <w:szCs w:val="4"/>
              </w:rPr>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SECTION 12.01</w:t>
            </w:r>
          </w:p>
        </w:tc>
        <w:tc>
          <w:tcPr>
            <w:tcW w:w="63" w:type="dxa"/>
            <w:tcBorders/>
            <w:vAlign w:val="bottom"/>
          </w:tcPr>
          <w:p>
            <w:pPr>
              <w:pStyle w:val="TableContents"/>
              <w:bidi w:val="0"/>
              <w:spacing w:before="0" w:after="283"/>
              <w:jc w:val="left"/>
              <w:rPr/>
            </w:pPr>
            <w:r>
              <w:rPr/>
              <w:t> </w:t>
            </w:r>
          </w:p>
        </w:tc>
        <w:tc>
          <w:tcPr>
            <w:tcW w:w="7789" w:type="dxa"/>
            <w:tcBorders/>
          </w:tcPr>
          <w:p>
            <w:pPr>
              <w:pStyle w:val="TableContents"/>
              <w:bidi w:val="0"/>
              <w:spacing w:before="0" w:after="0"/>
              <w:jc w:val="left"/>
              <w:rPr>
                <w:rFonts w:ascii="Times New Roman" w:hAnsi="Times New Roman"/>
                <w:b/>
                <w:sz w:val="20"/>
              </w:rPr>
            </w:pPr>
            <w:r>
              <w:rPr>
                <w:rFonts w:ascii="Times New Roman" w:hAnsi="Times New Roman"/>
                <w:b/>
                <w:sz w:val="20"/>
              </w:rPr>
              <w:t>Amendments, Etc.</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141</w:t>
            </w:r>
            <w:r>
              <w:rPr>
                <w:color w:val="0000FF"/>
                <w:u w:val="single"/>
                <w:bdr w:val="double" w:sz="2" w:space="1" w:color="000000"/>
              </w:rPr>
              <w:t>144</w:t>
            </w:r>
          </w:p>
        </w:tc>
        <w:tc>
          <w:tcPr>
            <w:tcW w:w="62"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SECTION 12.02</w:t>
            </w:r>
          </w:p>
        </w:tc>
        <w:tc>
          <w:tcPr>
            <w:tcW w:w="63" w:type="dxa"/>
            <w:tcBorders/>
            <w:vAlign w:val="bottom"/>
          </w:tcPr>
          <w:p>
            <w:pPr>
              <w:pStyle w:val="TableContents"/>
              <w:bidi w:val="0"/>
              <w:spacing w:before="0" w:after="283"/>
              <w:jc w:val="left"/>
              <w:rPr/>
            </w:pPr>
            <w:r>
              <w:rPr/>
              <w:t> </w:t>
            </w:r>
          </w:p>
        </w:tc>
        <w:tc>
          <w:tcPr>
            <w:tcW w:w="7789" w:type="dxa"/>
            <w:tcBorders/>
            <w:vAlign w:val="bottom"/>
          </w:tcPr>
          <w:p>
            <w:pPr>
              <w:pStyle w:val="TableContents"/>
              <w:bidi w:val="0"/>
              <w:spacing w:before="0" w:after="283"/>
              <w:jc w:val="left"/>
              <w:rPr>
                <w:b/>
              </w:rPr>
            </w:pPr>
            <w:r>
              <w:rPr>
                <w:b/>
              </w:rPr>
              <w:t>No Implied Waivers; Cumulative Remedies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142</w:t>
            </w:r>
            <w:r>
              <w:rPr>
                <w:color w:val="0000FF"/>
                <w:u w:val="single"/>
                <w:bdr w:val="double" w:sz="2" w:space="1" w:color="000000"/>
              </w:rPr>
              <w:t>146</w:t>
            </w:r>
          </w:p>
        </w:tc>
        <w:tc>
          <w:tcPr>
            <w:tcW w:w="62"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SECTION 12.03</w:t>
            </w:r>
          </w:p>
        </w:tc>
        <w:tc>
          <w:tcPr>
            <w:tcW w:w="63" w:type="dxa"/>
            <w:tcBorders/>
            <w:vAlign w:val="bottom"/>
          </w:tcPr>
          <w:p>
            <w:pPr>
              <w:pStyle w:val="TableContents"/>
              <w:bidi w:val="0"/>
              <w:spacing w:before="0" w:after="283"/>
              <w:jc w:val="left"/>
              <w:rPr/>
            </w:pPr>
            <w:r>
              <w:rPr/>
              <w:t> </w:t>
            </w:r>
          </w:p>
        </w:tc>
        <w:tc>
          <w:tcPr>
            <w:tcW w:w="7789" w:type="dxa"/>
            <w:tcBorders/>
            <w:vAlign w:val="bottom"/>
          </w:tcPr>
          <w:p>
            <w:pPr>
              <w:pStyle w:val="TableContents"/>
              <w:bidi w:val="0"/>
              <w:spacing w:before="0" w:after="283"/>
              <w:jc w:val="left"/>
              <w:rPr>
                <w:b/>
              </w:rPr>
            </w:pPr>
            <w:r>
              <w:rPr>
                <w:b/>
              </w:rPr>
              <w:t>Notices; Effectiveness; Electronic Communication</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143</w:t>
            </w:r>
            <w:r>
              <w:rPr>
                <w:color w:val="0000FF"/>
                <w:u w:val="single"/>
                <w:bdr w:val="double" w:sz="2" w:space="1" w:color="000000"/>
              </w:rPr>
              <w:t>146</w:t>
            </w:r>
          </w:p>
        </w:tc>
        <w:tc>
          <w:tcPr>
            <w:tcW w:w="62"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SECTION 12.04</w:t>
            </w:r>
          </w:p>
        </w:tc>
        <w:tc>
          <w:tcPr>
            <w:tcW w:w="63" w:type="dxa"/>
            <w:tcBorders/>
            <w:vAlign w:val="bottom"/>
          </w:tcPr>
          <w:p>
            <w:pPr>
              <w:pStyle w:val="TableContents"/>
              <w:bidi w:val="0"/>
              <w:spacing w:before="0" w:after="283"/>
              <w:jc w:val="left"/>
              <w:rPr/>
            </w:pPr>
            <w:r>
              <w:rPr/>
              <w:t> </w:t>
            </w:r>
          </w:p>
        </w:tc>
        <w:tc>
          <w:tcPr>
            <w:tcW w:w="7789" w:type="dxa"/>
            <w:tcBorders/>
            <w:vAlign w:val="bottom"/>
          </w:tcPr>
          <w:p>
            <w:pPr>
              <w:pStyle w:val="TableContents"/>
              <w:bidi w:val="0"/>
              <w:spacing w:before="0" w:after="283"/>
              <w:jc w:val="left"/>
              <w:rPr>
                <w:b/>
              </w:rPr>
            </w:pPr>
            <w:r>
              <w:rPr>
                <w:b/>
              </w:rPr>
              <w:t>Severability</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144</w:t>
            </w:r>
            <w:r>
              <w:rPr>
                <w:color w:val="0000FF"/>
                <w:u w:val="single"/>
                <w:bdr w:val="double" w:sz="2" w:space="1" w:color="000000"/>
              </w:rPr>
              <w:t>147</w:t>
            </w:r>
          </w:p>
        </w:tc>
        <w:tc>
          <w:tcPr>
            <w:tcW w:w="62"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SECTION 12.05</w:t>
            </w:r>
          </w:p>
        </w:tc>
        <w:tc>
          <w:tcPr>
            <w:tcW w:w="63" w:type="dxa"/>
            <w:tcBorders/>
            <w:vAlign w:val="bottom"/>
          </w:tcPr>
          <w:p>
            <w:pPr>
              <w:pStyle w:val="TableContents"/>
              <w:bidi w:val="0"/>
              <w:spacing w:before="0" w:after="283"/>
              <w:jc w:val="left"/>
              <w:rPr/>
            </w:pPr>
            <w:r>
              <w:rPr/>
              <w:t> </w:t>
            </w:r>
          </w:p>
        </w:tc>
        <w:tc>
          <w:tcPr>
            <w:tcW w:w="7789" w:type="dxa"/>
            <w:tcBorders/>
            <w:vAlign w:val="bottom"/>
          </w:tcPr>
          <w:p>
            <w:pPr>
              <w:pStyle w:val="TableContents"/>
              <w:bidi w:val="0"/>
              <w:spacing w:before="0" w:after="283"/>
              <w:jc w:val="left"/>
              <w:rPr>
                <w:b/>
              </w:rPr>
            </w:pPr>
            <w:r>
              <w:rPr>
                <w:b/>
              </w:rPr>
              <w:t>Duration; Survival</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144</w:t>
            </w:r>
            <w:r>
              <w:rPr>
                <w:color w:val="0000FF"/>
                <w:u w:val="single"/>
                <w:bdr w:val="double" w:sz="2" w:space="1" w:color="000000"/>
              </w:rPr>
              <w:t>148</w:t>
            </w:r>
          </w:p>
        </w:tc>
        <w:tc>
          <w:tcPr>
            <w:tcW w:w="62"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SECTION 12.06</w:t>
            </w:r>
          </w:p>
        </w:tc>
        <w:tc>
          <w:tcPr>
            <w:tcW w:w="63" w:type="dxa"/>
            <w:tcBorders/>
            <w:vAlign w:val="bottom"/>
          </w:tcPr>
          <w:p>
            <w:pPr>
              <w:pStyle w:val="TableContents"/>
              <w:bidi w:val="0"/>
              <w:spacing w:before="0" w:after="283"/>
              <w:jc w:val="left"/>
              <w:rPr/>
            </w:pPr>
            <w:r>
              <w:rPr/>
              <w:t> </w:t>
            </w:r>
          </w:p>
        </w:tc>
        <w:tc>
          <w:tcPr>
            <w:tcW w:w="7789" w:type="dxa"/>
            <w:tcBorders/>
            <w:vAlign w:val="bottom"/>
          </w:tcPr>
          <w:p>
            <w:pPr>
              <w:pStyle w:val="TableContents"/>
              <w:bidi w:val="0"/>
              <w:spacing w:before="0" w:after="283"/>
              <w:jc w:val="left"/>
              <w:rPr>
                <w:b/>
              </w:rPr>
            </w:pPr>
            <w:r>
              <w:rPr>
                <w:b/>
              </w:rPr>
              <w:t>Successors and Assigns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144</w:t>
            </w:r>
            <w:r>
              <w:rPr>
                <w:color w:val="0000FF"/>
                <w:u w:val="single"/>
                <w:bdr w:val="double" w:sz="2" w:space="1" w:color="000000"/>
              </w:rPr>
              <w:t>148</w:t>
            </w:r>
          </w:p>
        </w:tc>
        <w:tc>
          <w:tcPr>
            <w:tcW w:w="62"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SECTION 12.07</w:t>
            </w:r>
          </w:p>
        </w:tc>
        <w:tc>
          <w:tcPr>
            <w:tcW w:w="63" w:type="dxa"/>
            <w:tcBorders/>
            <w:vAlign w:val="bottom"/>
          </w:tcPr>
          <w:p>
            <w:pPr>
              <w:pStyle w:val="TableContents"/>
              <w:bidi w:val="0"/>
              <w:spacing w:before="0" w:after="283"/>
              <w:jc w:val="left"/>
              <w:rPr/>
            </w:pPr>
            <w:r>
              <w:rPr/>
              <w:t> </w:t>
            </w:r>
          </w:p>
        </w:tc>
        <w:tc>
          <w:tcPr>
            <w:tcW w:w="7789" w:type="dxa"/>
            <w:tcBorders/>
            <w:vAlign w:val="bottom"/>
          </w:tcPr>
          <w:p>
            <w:pPr>
              <w:pStyle w:val="TableContents"/>
              <w:bidi w:val="0"/>
              <w:spacing w:before="0" w:after="283"/>
              <w:jc w:val="left"/>
              <w:rPr>
                <w:b/>
              </w:rPr>
            </w:pPr>
            <w:r>
              <w:rPr>
                <w:b/>
              </w:rPr>
              <w:t>No Proceedings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149</w:t>
            </w:r>
            <w:r>
              <w:rPr>
                <w:color w:val="0000FF"/>
                <w:u w:val="single"/>
                <w:bdr w:val="double" w:sz="2" w:space="1" w:color="000000"/>
              </w:rPr>
              <w:t>152</w:t>
            </w:r>
          </w:p>
        </w:tc>
        <w:tc>
          <w:tcPr>
            <w:tcW w:w="62"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SECTION 12.08</w:t>
            </w:r>
          </w:p>
        </w:tc>
        <w:tc>
          <w:tcPr>
            <w:tcW w:w="63" w:type="dxa"/>
            <w:tcBorders/>
            <w:vAlign w:val="bottom"/>
          </w:tcPr>
          <w:p>
            <w:pPr>
              <w:pStyle w:val="TableContents"/>
              <w:bidi w:val="0"/>
              <w:spacing w:before="0" w:after="283"/>
              <w:jc w:val="left"/>
              <w:rPr/>
            </w:pPr>
            <w:r>
              <w:rPr/>
              <w:t> </w:t>
            </w:r>
          </w:p>
        </w:tc>
        <w:tc>
          <w:tcPr>
            <w:tcW w:w="7789" w:type="dxa"/>
            <w:tcBorders/>
            <w:vAlign w:val="bottom"/>
          </w:tcPr>
          <w:p>
            <w:pPr>
              <w:pStyle w:val="TableContents"/>
              <w:bidi w:val="0"/>
              <w:spacing w:before="0" w:after="283"/>
              <w:jc w:val="left"/>
              <w:rPr>
                <w:b/>
              </w:rPr>
            </w:pPr>
            <w:r>
              <w:rPr>
                <w:b/>
              </w:rPr>
              <w:t>Confidentiality</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149</w:t>
            </w:r>
            <w:r>
              <w:rPr>
                <w:color w:val="0000FF"/>
                <w:u w:val="single"/>
                <w:bdr w:val="double" w:sz="2" w:space="1" w:color="000000"/>
              </w:rPr>
              <w:t>152</w:t>
            </w:r>
          </w:p>
        </w:tc>
        <w:tc>
          <w:tcPr>
            <w:tcW w:w="62"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SECTION 12.09</w:t>
            </w:r>
          </w:p>
        </w:tc>
        <w:tc>
          <w:tcPr>
            <w:tcW w:w="63" w:type="dxa"/>
            <w:tcBorders/>
            <w:vAlign w:val="bottom"/>
          </w:tcPr>
          <w:p>
            <w:pPr>
              <w:pStyle w:val="TableContents"/>
              <w:bidi w:val="0"/>
              <w:spacing w:before="0" w:after="283"/>
              <w:jc w:val="left"/>
              <w:rPr/>
            </w:pPr>
            <w:r>
              <w:rPr/>
              <w:t> </w:t>
            </w:r>
          </w:p>
        </w:tc>
        <w:tc>
          <w:tcPr>
            <w:tcW w:w="7789" w:type="dxa"/>
            <w:tcBorders/>
            <w:vAlign w:val="bottom"/>
          </w:tcPr>
          <w:p>
            <w:pPr>
              <w:pStyle w:val="TableContents"/>
              <w:bidi w:val="0"/>
              <w:spacing w:before="0" w:after="283"/>
              <w:jc w:val="left"/>
              <w:rPr>
                <w:b/>
              </w:rPr>
            </w:pPr>
            <w:r>
              <w:rPr>
                <w:b/>
              </w:rPr>
              <w:t>Counterparts; Integration; Effectiveness; Electronic Execution</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150</w:t>
            </w:r>
            <w:r>
              <w:rPr>
                <w:color w:val="0000FF"/>
                <w:u w:val="single"/>
                <w:bdr w:val="double" w:sz="2" w:space="1" w:color="000000"/>
              </w:rPr>
              <w:t>154</w:t>
            </w:r>
          </w:p>
        </w:tc>
        <w:tc>
          <w:tcPr>
            <w:tcW w:w="62"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SECTION 12.10</w:t>
            </w:r>
          </w:p>
        </w:tc>
        <w:tc>
          <w:tcPr>
            <w:tcW w:w="63" w:type="dxa"/>
            <w:tcBorders/>
            <w:vAlign w:val="bottom"/>
          </w:tcPr>
          <w:p>
            <w:pPr>
              <w:pStyle w:val="TableContents"/>
              <w:bidi w:val="0"/>
              <w:spacing w:before="0" w:after="283"/>
              <w:jc w:val="left"/>
              <w:rPr/>
            </w:pPr>
            <w:r>
              <w:rPr/>
              <w:t> </w:t>
            </w:r>
          </w:p>
        </w:tc>
        <w:tc>
          <w:tcPr>
            <w:tcW w:w="7789" w:type="dxa"/>
            <w:tcBorders/>
            <w:vAlign w:val="bottom"/>
          </w:tcPr>
          <w:p>
            <w:pPr>
              <w:pStyle w:val="TableContents"/>
              <w:bidi w:val="0"/>
              <w:spacing w:before="0" w:after="283"/>
              <w:jc w:val="left"/>
              <w:rPr>
                <w:b/>
              </w:rPr>
            </w:pPr>
            <w:r>
              <w:rPr>
                <w:b/>
              </w:rPr>
              <w:t>CHOICE OF LAW; SUBMISSION TO JURISDICTION; WAIVER OF VENUE; SERVICE OF PROCESS; WAIVER OF JURY TRIAL</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151</w:t>
            </w:r>
            <w:r>
              <w:rPr>
                <w:color w:val="0000FF"/>
                <w:u w:val="single"/>
                <w:bdr w:val="double" w:sz="2" w:space="1" w:color="000000"/>
              </w:rPr>
              <w:t>154</w:t>
            </w:r>
          </w:p>
        </w:tc>
        <w:tc>
          <w:tcPr>
            <w:tcW w:w="62"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SECTION 12.11</w:t>
            </w:r>
          </w:p>
        </w:tc>
        <w:tc>
          <w:tcPr>
            <w:tcW w:w="63" w:type="dxa"/>
            <w:tcBorders/>
            <w:vAlign w:val="bottom"/>
          </w:tcPr>
          <w:p>
            <w:pPr>
              <w:pStyle w:val="TableContents"/>
              <w:bidi w:val="0"/>
              <w:spacing w:before="0" w:after="283"/>
              <w:jc w:val="left"/>
              <w:rPr/>
            </w:pPr>
            <w:r>
              <w:rPr/>
              <w:t> </w:t>
            </w:r>
          </w:p>
        </w:tc>
        <w:tc>
          <w:tcPr>
            <w:tcW w:w="7789" w:type="dxa"/>
            <w:tcBorders/>
            <w:vAlign w:val="bottom"/>
          </w:tcPr>
          <w:p>
            <w:pPr>
              <w:pStyle w:val="TableContents"/>
              <w:bidi w:val="0"/>
              <w:spacing w:before="0" w:after="283"/>
              <w:jc w:val="left"/>
              <w:rPr>
                <w:b/>
              </w:rPr>
            </w:pPr>
            <w:r>
              <w:rPr>
                <w:b/>
              </w:rPr>
              <w:t>Intent of the Parties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152</w:t>
            </w:r>
            <w:r>
              <w:rPr>
                <w:color w:val="0000FF"/>
                <w:u w:val="single"/>
                <w:bdr w:val="double" w:sz="2" w:space="1" w:color="000000"/>
              </w:rPr>
              <w:t>155</w:t>
            </w:r>
          </w:p>
        </w:tc>
        <w:tc>
          <w:tcPr>
            <w:tcW w:w="62"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SECTION 12.12</w:t>
            </w:r>
          </w:p>
        </w:tc>
        <w:tc>
          <w:tcPr>
            <w:tcW w:w="63" w:type="dxa"/>
            <w:tcBorders/>
            <w:vAlign w:val="bottom"/>
          </w:tcPr>
          <w:p>
            <w:pPr>
              <w:pStyle w:val="TableContents"/>
              <w:bidi w:val="0"/>
              <w:spacing w:before="0" w:after="283"/>
              <w:jc w:val="left"/>
              <w:rPr/>
            </w:pPr>
            <w:r>
              <w:rPr/>
              <w:t> </w:t>
            </w:r>
          </w:p>
        </w:tc>
        <w:tc>
          <w:tcPr>
            <w:tcW w:w="7789" w:type="dxa"/>
            <w:tcBorders/>
            <w:vAlign w:val="bottom"/>
          </w:tcPr>
          <w:p>
            <w:pPr>
              <w:pStyle w:val="TableContents"/>
              <w:bidi w:val="0"/>
              <w:spacing w:before="0" w:after="283"/>
              <w:jc w:val="left"/>
              <w:rPr>
                <w:b/>
              </w:rPr>
            </w:pPr>
            <w:r>
              <w:rPr>
                <w:b/>
              </w:rPr>
              <w:t>Mutual Negotiations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152</w:t>
            </w:r>
            <w:r>
              <w:rPr>
                <w:color w:val="0000FF"/>
                <w:u w:val="single"/>
                <w:bdr w:val="double" w:sz="2" w:space="1" w:color="000000"/>
              </w:rPr>
              <w:t>156</w:t>
            </w:r>
          </w:p>
        </w:tc>
        <w:tc>
          <w:tcPr>
            <w:tcW w:w="62"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SECTION 12.13</w:t>
            </w:r>
          </w:p>
        </w:tc>
        <w:tc>
          <w:tcPr>
            <w:tcW w:w="63" w:type="dxa"/>
            <w:tcBorders/>
            <w:vAlign w:val="bottom"/>
          </w:tcPr>
          <w:p>
            <w:pPr>
              <w:pStyle w:val="TableContents"/>
              <w:bidi w:val="0"/>
              <w:spacing w:before="0" w:after="283"/>
              <w:jc w:val="left"/>
              <w:rPr/>
            </w:pPr>
            <w:r>
              <w:rPr/>
              <w:t> </w:t>
            </w:r>
          </w:p>
        </w:tc>
        <w:tc>
          <w:tcPr>
            <w:tcW w:w="7789" w:type="dxa"/>
            <w:tcBorders/>
            <w:vAlign w:val="bottom"/>
          </w:tcPr>
          <w:p>
            <w:pPr>
              <w:pStyle w:val="TableContents"/>
              <w:bidi w:val="0"/>
              <w:spacing w:before="0" w:after="283"/>
              <w:jc w:val="left"/>
              <w:rPr>
                <w:b/>
              </w:rPr>
            </w:pPr>
            <w:r>
              <w:rPr>
                <w:b/>
              </w:rPr>
              <w:t>Acknowledgement and Consent to Bail-In of Affected Financial Institutions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152</w:t>
            </w:r>
            <w:r>
              <w:rPr>
                <w:color w:val="0000FF"/>
                <w:u w:val="single"/>
                <w:bdr w:val="double" w:sz="2" w:space="1" w:color="000000"/>
              </w:rPr>
              <w:t>156</w:t>
            </w:r>
          </w:p>
        </w:tc>
        <w:tc>
          <w:tcPr>
            <w:tcW w:w="62"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SECTION 12.14</w:t>
            </w:r>
          </w:p>
        </w:tc>
        <w:tc>
          <w:tcPr>
            <w:tcW w:w="63" w:type="dxa"/>
            <w:tcBorders/>
            <w:vAlign w:val="bottom"/>
          </w:tcPr>
          <w:p>
            <w:pPr>
              <w:pStyle w:val="TableContents"/>
              <w:bidi w:val="0"/>
              <w:spacing w:before="0" w:after="283"/>
              <w:jc w:val="left"/>
              <w:rPr/>
            </w:pPr>
            <w:r>
              <w:rPr/>
              <w:t> </w:t>
            </w:r>
          </w:p>
        </w:tc>
        <w:tc>
          <w:tcPr>
            <w:tcW w:w="7789" w:type="dxa"/>
            <w:tcBorders/>
            <w:vAlign w:val="bottom"/>
          </w:tcPr>
          <w:p>
            <w:pPr>
              <w:pStyle w:val="TableContents"/>
              <w:bidi w:val="0"/>
              <w:spacing w:before="0" w:after="283"/>
              <w:jc w:val="left"/>
              <w:rPr>
                <w:b/>
              </w:rPr>
            </w:pPr>
            <w:r>
              <w:rPr>
                <w:b/>
              </w:rPr>
              <w:t>USA PATRIOT Act Notice</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153</w:t>
            </w:r>
            <w:r>
              <w:rPr>
                <w:color w:val="0000FF"/>
                <w:u w:val="single"/>
                <w:bdr w:val="double" w:sz="2" w:space="1" w:color="000000"/>
              </w:rPr>
              <w:t>156</w:t>
            </w:r>
          </w:p>
        </w:tc>
        <w:tc>
          <w:tcPr>
            <w:tcW w:w="62"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SECTION 12.15</w:t>
            </w:r>
          </w:p>
        </w:tc>
        <w:tc>
          <w:tcPr>
            <w:tcW w:w="63" w:type="dxa"/>
            <w:tcBorders/>
            <w:vAlign w:val="bottom"/>
          </w:tcPr>
          <w:p>
            <w:pPr>
              <w:pStyle w:val="TableContents"/>
              <w:bidi w:val="0"/>
              <w:spacing w:before="0" w:after="283"/>
              <w:jc w:val="left"/>
              <w:rPr/>
            </w:pPr>
            <w:r>
              <w:rPr/>
              <w:t> </w:t>
            </w:r>
          </w:p>
        </w:tc>
        <w:tc>
          <w:tcPr>
            <w:tcW w:w="7789" w:type="dxa"/>
            <w:tcBorders/>
            <w:vAlign w:val="bottom"/>
          </w:tcPr>
          <w:p>
            <w:pPr>
              <w:pStyle w:val="TableContents"/>
              <w:bidi w:val="0"/>
              <w:spacing w:before="0" w:after="283"/>
              <w:jc w:val="left"/>
              <w:rPr>
                <w:b/>
              </w:rPr>
            </w:pPr>
            <w:r>
              <w:rPr>
                <w:b/>
              </w:rPr>
              <w:t>Acknowledgement Regarding Any Supported QFCs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153</w:t>
            </w:r>
            <w:r>
              <w:rPr>
                <w:color w:val="0000FF"/>
                <w:u w:val="single"/>
                <w:bdr w:val="double" w:sz="2" w:space="1" w:color="000000"/>
              </w:rPr>
              <w:t>157</w:t>
            </w:r>
          </w:p>
        </w:tc>
        <w:tc>
          <w:tcPr>
            <w:tcW w:w="62" w:type="dxa"/>
            <w:tcBorders/>
            <w:vAlign w:val="bottom"/>
          </w:tcPr>
          <w:p>
            <w:pPr>
              <w:pStyle w:val="TableContents"/>
              <w:bidi w:val="0"/>
              <w:spacing w:before="0" w:after="283"/>
              <w:jc w:val="left"/>
              <w:rPr/>
            </w:pPr>
            <w:r>
              <w:rPr/>
              <w:t> </w:t>
            </w:r>
          </w:p>
        </w:tc>
      </w:tr>
      <w:tr>
        <w:trPr>
          <w:trHeight w:val="120" w:hRule="atLeast"/>
        </w:trPr>
        <w:tc>
          <w:tcPr>
            <w:tcW w:w="9222" w:type="dxa"/>
            <w:gridSpan w:val="3"/>
            <w:tcBorders/>
            <w:vAlign w:val="center"/>
          </w:tcPr>
          <w:p>
            <w:pPr>
              <w:pStyle w:val="TableContents"/>
              <w:bidi w:val="0"/>
              <w:spacing w:before="0" w:after="283"/>
              <w:jc w:val="left"/>
              <w:rPr>
                <w:sz w:val="4"/>
                <w:szCs w:val="4"/>
              </w:rPr>
            </w:pPr>
            <w:r>
              <w:rPr>
                <w:sz w:val="4"/>
                <w:szCs w:val="4"/>
              </w:rPr>
            </w:r>
          </w:p>
        </w:tc>
        <w:tc>
          <w:tcPr>
            <w:tcW w:w="983" w:type="dxa"/>
            <w:gridSpan w:val="4"/>
            <w:tcBorders/>
            <w:vAlign w:val="center"/>
          </w:tcPr>
          <w:p>
            <w:pPr>
              <w:pStyle w:val="TableContents"/>
              <w:bidi w:val="0"/>
              <w:spacing w:before="0" w:after="283"/>
              <w:jc w:val="left"/>
              <w:rPr>
                <w:sz w:val="4"/>
                <w:szCs w:val="4"/>
              </w:rPr>
            </w:pPr>
            <w:r>
              <w:rPr>
                <w:sz w:val="4"/>
                <w:szCs w:val="4"/>
              </w:rPr>
            </w:r>
          </w:p>
        </w:tc>
      </w:tr>
      <w:tr>
        <w:trPr/>
        <w:tc>
          <w:tcPr>
            <w:tcW w:w="922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XIII LENDER REPRESENTATIVE</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b/>
              </w:rPr>
            </w:pPr>
            <w:r>
              <w:rPr>
                <w:b/>
                <w:strike/>
                <w:color w:val="FF0000"/>
              </w:rPr>
              <w:t>154</w:t>
            </w:r>
            <w:r>
              <w:rPr>
                <w:b/>
                <w:color w:val="0000FF"/>
                <w:u w:val="single"/>
                <w:bdr w:val="double" w:sz="2" w:space="1" w:color="000000"/>
              </w:rPr>
              <w:t>158</w:t>
            </w:r>
          </w:p>
        </w:tc>
        <w:tc>
          <w:tcPr>
            <w:tcW w:w="62" w:type="dxa"/>
            <w:tcBorders/>
            <w:vAlign w:val="bottom"/>
          </w:tcPr>
          <w:p>
            <w:pPr>
              <w:pStyle w:val="TableContents"/>
              <w:bidi w:val="0"/>
              <w:spacing w:before="0" w:after="283"/>
              <w:jc w:val="left"/>
              <w:rPr/>
            </w:pPr>
            <w:r>
              <w:rPr/>
              <w:t> </w:t>
            </w:r>
          </w:p>
        </w:tc>
      </w:tr>
      <w:tr>
        <w:trPr>
          <w:trHeight w:val="120" w:hRule="atLeast"/>
        </w:trPr>
        <w:tc>
          <w:tcPr>
            <w:tcW w:w="1370" w:type="dxa"/>
            <w:tcBorders/>
            <w:vAlign w:val="center"/>
          </w:tcPr>
          <w:p>
            <w:pPr>
              <w:pStyle w:val="TableContents"/>
              <w:bidi w:val="0"/>
              <w:spacing w:before="0" w:after="283"/>
              <w:jc w:val="left"/>
              <w:rPr>
                <w:sz w:val="4"/>
                <w:szCs w:val="4"/>
              </w:rPr>
            </w:pPr>
            <w:r>
              <w:rPr>
                <w:sz w:val="4"/>
                <w:szCs w:val="4"/>
              </w:rPr>
            </w:r>
          </w:p>
        </w:tc>
        <w:tc>
          <w:tcPr>
            <w:tcW w:w="7852" w:type="dxa"/>
            <w:gridSpan w:val="2"/>
            <w:tcBorders/>
            <w:vAlign w:val="center"/>
          </w:tcPr>
          <w:p>
            <w:pPr>
              <w:pStyle w:val="TableContents"/>
              <w:bidi w:val="0"/>
              <w:spacing w:before="0" w:after="283"/>
              <w:jc w:val="left"/>
              <w:rPr>
                <w:sz w:val="4"/>
                <w:szCs w:val="4"/>
              </w:rPr>
            </w:pPr>
            <w:r>
              <w:rPr>
                <w:sz w:val="4"/>
                <w:szCs w:val="4"/>
              </w:rPr>
            </w:r>
          </w:p>
        </w:tc>
        <w:tc>
          <w:tcPr>
            <w:tcW w:w="983" w:type="dxa"/>
            <w:gridSpan w:val="4"/>
            <w:tcBorders/>
            <w:vAlign w:val="center"/>
          </w:tcPr>
          <w:p>
            <w:pPr>
              <w:pStyle w:val="TableContents"/>
              <w:bidi w:val="0"/>
              <w:spacing w:before="0" w:after="283"/>
              <w:jc w:val="left"/>
              <w:rPr>
                <w:sz w:val="4"/>
                <w:szCs w:val="4"/>
              </w:rPr>
            </w:pPr>
            <w:r>
              <w:rPr>
                <w:sz w:val="4"/>
                <w:szCs w:val="4"/>
              </w:rPr>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SECTION 13.01</w:t>
            </w:r>
          </w:p>
        </w:tc>
        <w:tc>
          <w:tcPr>
            <w:tcW w:w="63" w:type="dxa"/>
            <w:tcBorders/>
            <w:vAlign w:val="bottom"/>
          </w:tcPr>
          <w:p>
            <w:pPr>
              <w:pStyle w:val="TableContents"/>
              <w:bidi w:val="0"/>
              <w:spacing w:before="0" w:after="283"/>
              <w:jc w:val="left"/>
              <w:rPr/>
            </w:pPr>
            <w:r>
              <w:rPr/>
              <w:t> </w:t>
            </w:r>
          </w:p>
        </w:tc>
        <w:tc>
          <w:tcPr>
            <w:tcW w:w="7789" w:type="dxa"/>
            <w:tcBorders/>
          </w:tcPr>
          <w:p>
            <w:pPr>
              <w:pStyle w:val="TableContents"/>
              <w:bidi w:val="0"/>
              <w:spacing w:before="0" w:after="0"/>
              <w:jc w:val="left"/>
              <w:rPr>
                <w:rFonts w:ascii="Times New Roman" w:hAnsi="Times New Roman"/>
                <w:b/>
                <w:sz w:val="20"/>
              </w:rPr>
            </w:pPr>
            <w:r>
              <w:rPr>
                <w:rFonts w:ascii="Times New Roman" w:hAnsi="Times New Roman"/>
                <w:b/>
                <w:sz w:val="20"/>
              </w:rPr>
              <w:t>Class A Lender Representative</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154</w:t>
            </w:r>
            <w:r>
              <w:rPr>
                <w:color w:val="0000FF"/>
                <w:u w:val="single"/>
                <w:bdr w:val="double" w:sz="2" w:space="1" w:color="000000"/>
              </w:rPr>
              <w:t>158</w:t>
            </w:r>
          </w:p>
        </w:tc>
        <w:tc>
          <w:tcPr>
            <w:tcW w:w="62"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SECTION 13.02</w:t>
            </w:r>
          </w:p>
        </w:tc>
        <w:tc>
          <w:tcPr>
            <w:tcW w:w="63" w:type="dxa"/>
            <w:tcBorders/>
            <w:vAlign w:val="bottom"/>
          </w:tcPr>
          <w:p>
            <w:pPr>
              <w:pStyle w:val="TableContents"/>
              <w:bidi w:val="0"/>
              <w:spacing w:before="0" w:after="283"/>
              <w:jc w:val="left"/>
              <w:rPr/>
            </w:pPr>
            <w:r>
              <w:rPr/>
              <w:t> </w:t>
            </w:r>
          </w:p>
        </w:tc>
        <w:tc>
          <w:tcPr>
            <w:tcW w:w="7789" w:type="dxa"/>
            <w:tcBorders/>
            <w:vAlign w:val="bottom"/>
          </w:tcPr>
          <w:p>
            <w:pPr>
              <w:pStyle w:val="TableContents"/>
              <w:bidi w:val="0"/>
              <w:spacing w:before="0" w:after="283"/>
              <w:jc w:val="left"/>
              <w:rPr>
                <w:b/>
              </w:rPr>
            </w:pPr>
            <w:r>
              <w:rPr>
                <w:b/>
              </w:rPr>
              <w:t>Class B Lender Representative</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158</w:t>
            </w:r>
            <w:r>
              <w:rPr>
                <w:color w:val="0000FF"/>
                <w:u w:val="single"/>
                <w:bdr w:val="double" w:sz="2" w:space="1" w:color="000000"/>
              </w:rPr>
              <w:t>161</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83"/>
        <w:gridCol w:w="220"/>
        <w:gridCol w:w="321"/>
        <w:gridCol w:w="123"/>
        <w:gridCol w:w="8258"/>
      </w:tblGrid>
      <w:tr>
        <w:trPr/>
        <w:tc>
          <w:tcPr>
            <w:tcW w:w="1283"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258" w:type="dxa"/>
            <w:tcBorders/>
            <w:vAlign w:val="center"/>
          </w:tcPr>
          <w:p>
            <w:pPr>
              <w:pStyle w:val="TableContents"/>
              <w:bidi w:val="0"/>
              <w:spacing w:before="0" w:after="283"/>
              <w:jc w:val="left"/>
              <w:rPr>
                <w:sz w:val="4"/>
                <w:szCs w:val="4"/>
              </w:rPr>
            </w:pPr>
            <w:r>
              <w:rPr>
                <w:sz w:val="4"/>
                <w:szCs w:val="4"/>
              </w:rPr>
            </w:r>
          </w:p>
        </w:tc>
      </w:tr>
      <w:tr>
        <w:trPr/>
        <w:tc>
          <w:tcPr>
            <w:tcW w:w="1283" w:type="dxa"/>
            <w:tcBorders/>
          </w:tcPr>
          <w:p>
            <w:pPr>
              <w:pStyle w:val="TableContents"/>
              <w:bidi w:val="0"/>
              <w:spacing w:before="0" w:after="283"/>
              <w:jc w:val="left"/>
              <w:rPr/>
            </w:pPr>
            <w:r>
              <w:rPr/>
              <w:t>EXHIBIT A</w:t>
            </w:r>
          </w:p>
        </w:tc>
        <w:tc>
          <w:tcPr>
            <w:tcW w:w="220"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8258" w:type="dxa"/>
            <w:tcBorders/>
          </w:tcPr>
          <w:p>
            <w:pPr>
              <w:pStyle w:val="TableContents"/>
              <w:bidi w:val="0"/>
              <w:spacing w:before="0" w:after="283"/>
              <w:jc w:val="left"/>
              <w:rPr/>
            </w:pPr>
            <w:r>
              <w:rPr/>
              <w:t>Form of Loan Request</w:t>
            </w:r>
          </w:p>
        </w:tc>
      </w:tr>
      <w:tr>
        <w:trPr/>
        <w:tc>
          <w:tcPr>
            <w:tcW w:w="1283" w:type="dxa"/>
            <w:tcBorders/>
          </w:tcPr>
          <w:p>
            <w:pPr>
              <w:pStyle w:val="TableContents"/>
              <w:bidi w:val="0"/>
              <w:spacing w:before="0" w:after="283"/>
              <w:jc w:val="left"/>
              <w:rPr/>
            </w:pPr>
            <w:r>
              <w:rPr/>
              <w:t>EXHIBIT B</w:t>
            </w:r>
          </w:p>
        </w:tc>
        <w:tc>
          <w:tcPr>
            <w:tcW w:w="220"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8258" w:type="dxa"/>
            <w:tcBorders/>
          </w:tcPr>
          <w:p>
            <w:pPr>
              <w:pStyle w:val="TableContents"/>
              <w:bidi w:val="0"/>
              <w:spacing w:before="0" w:after="283"/>
              <w:jc w:val="left"/>
              <w:rPr/>
            </w:pPr>
            <w:r>
              <w:rPr/>
              <w:t>Form of Reduction Notice</w:t>
            </w:r>
          </w:p>
        </w:tc>
      </w:tr>
      <w:tr>
        <w:trPr/>
        <w:tc>
          <w:tcPr>
            <w:tcW w:w="1283" w:type="dxa"/>
            <w:tcBorders/>
          </w:tcPr>
          <w:p>
            <w:pPr>
              <w:pStyle w:val="TableContents"/>
              <w:bidi w:val="0"/>
              <w:spacing w:before="0" w:after="283"/>
              <w:jc w:val="left"/>
              <w:rPr/>
            </w:pPr>
            <w:r>
              <w:rPr/>
              <w:t>EXHIBIT C</w:t>
            </w:r>
          </w:p>
        </w:tc>
        <w:tc>
          <w:tcPr>
            <w:tcW w:w="220"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8258" w:type="dxa"/>
            <w:tcBorders/>
          </w:tcPr>
          <w:p>
            <w:pPr>
              <w:pStyle w:val="TableContents"/>
              <w:bidi w:val="0"/>
              <w:spacing w:before="0" w:after="283"/>
              <w:jc w:val="left"/>
              <w:rPr/>
            </w:pPr>
            <w:r>
              <w:rPr/>
              <w:t>Form of Assignment and Assumption Agreement</w:t>
            </w:r>
          </w:p>
        </w:tc>
      </w:tr>
      <w:tr>
        <w:trPr/>
        <w:tc>
          <w:tcPr>
            <w:tcW w:w="1283" w:type="dxa"/>
            <w:tcBorders/>
          </w:tcPr>
          <w:p>
            <w:pPr>
              <w:pStyle w:val="TableContents"/>
              <w:bidi w:val="0"/>
              <w:spacing w:before="0" w:after="283"/>
              <w:jc w:val="left"/>
              <w:rPr/>
            </w:pPr>
            <w:r>
              <w:rPr/>
              <w:t>EXHIBIT D</w:t>
            </w:r>
          </w:p>
        </w:tc>
        <w:tc>
          <w:tcPr>
            <w:tcW w:w="220"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8258" w:type="dxa"/>
            <w:tcBorders/>
          </w:tcPr>
          <w:p>
            <w:pPr>
              <w:pStyle w:val="TableContents"/>
              <w:bidi w:val="0"/>
              <w:spacing w:before="0" w:after="283"/>
              <w:jc w:val="left"/>
              <w:rPr/>
            </w:pPr>
            <w:r>
              <w:rPr/>
              <w:t>Credit and Collection Policy</w:t>
            </w:r>
          </w:p>
        </w:tc>
      </w:tr>
      <w:tr>
        <w:trPr/>
        <w:tc>
          <w:tcPr>
            <w:tcW w:w="1283" w:type="dxa"/>
            <w:tcBorders/>
          </w:tcPr>
          <w:p>
            <w:pPr>
              <w:pStyle w:val="TableContents"/>
              <w:bidi w:val="0"/>
              <w:spacing w:before="0" w:after="283"/>
              <w:jc w:val="left"/>
              <w:rPr/>
            </w:pPr>
            <w:r>
              <w:rPr/>
              <w:t>EXHIBIT E</w:t>
            </w:r>
          </w:p>
        </w:tc>
        <w:tc>
          <w:tcPr>
            <w:tcW w:w="220"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8258" w:type="dxa"/>
            <w:tcBorders/>
          </w:tcPr>
          <w:p>
            <w:pPr>
              <w:pStyle w:val="TableContents"/>
              <w:bidi w:val="0"/>
              <w:spacing w:before="0" w:after="283"/>
              <w:jc w:val="left"/>
              <w:rPr/>
            </w:pPr>
            <w:r>
              <w:rPr/>
              <w:t>Forms of Pool Reports</w:t>
            </w:r>
          </w:p>
        </w:tc>
      </w:tr>
      <w:tr>
        <w:trPr/>
        <w:tc>
          <w:tcPr>
            <w:tcW w:w="1283" w:type="dxa"/>
            <w:tcBorders/>
          </w:tcPr>
          <w:p>
            <w:pPr>
              <w:pStyle w:val="TableContents"/>
              <w:bidi w:val="0"/>
              <w:spacing w:before="0" w:after="283"/>
              <w:jc w:val="left"/>
              <w:rPr/>
            </w:pPr>
            <w:r>
              <w:rPr/>
              <w:t>EXHIBIT F</w:t>
            </w:r>
          </w:p>
        </w:tc>
        <w:tc>
          <w:tcPr>
            <w:tcW w:w="220"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8258" w:type="dxa"/>
            <w:tcBorders/>
          </w:tcPr>
          <w:p>
            <w:pPr>
              <w:pStyle w:val="TableContents"/>
              <w:bidi w:val="0"/>
              <w:spacing w:before="0" w:after="283"/>
              <w:jc w:val="left"/>
              <w:rPr/>
            </w:pPr>
            <w:r>
              <w:rPr/>
              <w:t>Form of Compliance Certificate</w:t>
            </w:r>
          </w:p>
        </w:tc>
      </w:tr>
      <w:tr>
        <w:trPr/>
        <w:tc>
          <w:tcPr>
            <w:tcW w:w="1283" w:type="dxa"/>
            <w:tcBorders/>
          </w:tcPr>
          <w:p>
            <w:pPr>
              <w:pStyle w:val="TableContents"/>
              <w:bidi w:val="0"/>
              <w:spacing w:before="0" w:after="283"/>
              <w:jc w:val="left"/>
              <w:rPr/>
            </w:pPr>
            <w:r>
              <w:rPr/>
              <w:t>EXHIBIT G</w:t>
            </w:r>
          </w:p>
        </w:tc>
        <w:tc>
          <w:tcPr>
            <w:tcW w:w="220"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8258" w:type="dxa"/>
            <w:tcBorders/>
          </w:tcPr>
          <w:p>
            <w:pPr>
              <w:pStyle w:val="TableContents"/>
              <w:bidi w:val="0"/>
              <w:spacing w:before="0" w:after="283"/>
              <w:jc w:val="left"/>
              <w:rPr/>
            </w:pPr>
            <w:r>
              <w:rPr/>
              <w:t>Closing Memorandum</w:t>
            </w:r>
          </w:p>
        </w:tc>
      </w:tr>
      <w:tr>
        <w:trPr/>
        <w:tc>
          <w:tcPr>
            <w:tcW w:w="1283" w:type="dxa"/>
            <w:tcBorders/>
          </w:tcPr>
          <w:p>
            <w:pPr>
              <w:pStyle w:val="TableContents"/>
              <w:bidi w:val="0"/>
              <w:spacing w:before="0" w:after="283"/>
              <w:jc w:val="left"/>
              <w:rPr/>
            </w:pPr>
            <w:r>
              <w:rPr/>
              <w:t>EXHIBIT H</w:t>
            </w:r>
          </w:p>
        </w:tc>
        <w:tc>
          <w:tcPr>
            <w:tcW w:w="220"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8258" w:type="dxa"/>
            <w:tcBorders/>
          </w:tcPr>
          <w:p>
            <w:pPr>
              <w:pStyle w:val="TableContents"/>
              <w:bidi w:val="0"/>
              <w:spacing w:before="0" w:after="283"/>
              <w:jc w:val="left"/>
              <w:rPr/>
            </w:pPr>
            <w:r>
              <w:rPr/>
              <w:t>Forms of Tax Compliance Certificates</w:t>
            </w:r>
          </w:p>
        </w:tc>
      </w:tr>
      <w:tr>
        <w:trPr/>
        <w:tc>
          <w:tcPr>
            <w:tcW w:w="1283" w:type="dxa"/>
            <w:tcBorders/>
          </w:tcPr>
          <w:p>
            <w:pPr>
              <w:pStyle w:val="TableContents"/>
              <w:bidi w:val="0"/>
              <w:spacing w:before="0" w:after="283"/>
              <w:jc w:val="left"/>
              <w:rPr/>
            </w:pPr>
            <w:r>
              <w:rPr/>
              <w:t>EXHIBIT I</w:t>
            </w:r>
          </w:p>
        </w:tc>
        <w:tc>
          <w:tcPr>
            <w:tcW w:w="220"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8258" w:type="dxa"/>
            <w:tcBorders/>
          </w:tcPr>
          <w:p>
            <w:pPr>
              <w:pStyle w:val="TableContents"/>
              <w:bidi w:val="0"/>
              <w:spacing w:before="0" w:after="283"/>
              <w:jc w:val="left"/>
              <w:rPr/>
            </w:pPr>
            <w:r>
              <w:rPr/>
              <w:t>Excluded Contracts</w:t>
            </w:r>
          </w:p>
        </w:tc>
      </w:tr>
      <w:tr>
        <w:trPr/>
        <w:tc>
          <w:tcPr>
            <w:tcW w:w="1283" w:type="dxa"/>
            <w:tcBorders/>
          </w:tcPr>
          <w:p>
            <w:pPr>
              <w:pStyle w:val="TableContents"/>
              <w:bidi w:val="0"/>
              <w:spacing w:before="0" w:after="283"/>
              <w:jc w:val="left"/>
              <w:rPr/>
            </w:pPr>
            <w:r>
              <w:rPr/>
              <w:t>EXHIBIT J</w:t>
            </w:r>
          </w:p>
        </w:tc>
        <w:tc>
          <w:tcPr>
            <w:tcW w:w="220"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8258" w:type="dxa"/>
            <w:tcBorders/>
          </w:tcPr>
          <w:p>
            <w:pPr>
              <w:pStyle w:val="TableContents"/>
              <w:bidi w:val="0"/>
              <w:spacing w:before="0" w:after="283"/>
              <w:jc w:val="left"/>
              <w:rPr/>
            </w:pPr>
            <w:r>
              <w:rPr/>
              <w:t>Servicing Fee Rate</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14"/>
        <w:gridCol w:w="225"/>
        <w:gridCol w:w="321"/>
        <w:gridCol w:w="136"/>
        <w:gridCol w:w="7909"/>
      </w:tblGrid>
      <w:tr>
        <w:trPr/>
        <w:tc>
          <w:tcPr>
            <w:tcW w:w="1614"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7909" w:type="dxa"/>
            <w:tcBorders/>
            <w:vAlign w:val="center"/>
          </w:tcPr>
          <w:p>
            <w:pPr>
              <w:pStyle w:val="TableContents"/>
              <w:bidi w:val="0"/>
              <w:spacing w:before="0" w:after="283"/>
              <w:jc w:val="left"/>
              <w:rPr>
                <w:sz w:val="4"/>
                <w:szCs w:val="4"/>
              </w:rPr>
            </w:pPr>
            <w:r>
              <w:rPr>
                <w:sz w:val="4"/>
                <w:szCs w:val="4"/>
              </w:rPr>
            </w:r>
          </w:p>
        </w:tc>
      </w:tr>
      <w:tr>
        <w:trPr/>
        <w:tc>
          <w:tcPr>
            <w:tcW w:w="1614" w:type="dxa"/>
            <w:tcBorders/>
          </w:tcPr>
          <w:p>
            <w:pPr>
              <w:pStyle w:val="TableContents"/>
              <w:bidi w:val="0"/>
              <w:spacing w:before="0" w:after="283"/>
              <w:jc w:val="left"/>
              <w:rPr/>
            </w:pPr>
            <w:r>
              <w:rPr/>
              <w:t>SCHEDULE I</w:t>
            </w:r>
          </w:p>
        </w:tc>
        <w:tc>
          <w:tcPr>
            <w:tcW w:w="225"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w:t>
            </w:r>
          </w:p>
        </w:tc>
        <w:tc>
          <w:tcPr>
            <w:tcW w:w="136" w:type="dxa"/>
            <w:tcBorders/>
            <w:vAlign w:val="bottom"/>
          </w:tcPr>
          <w:p>
            <w:pPr>
              <w:pStyle w:val="TableContents"/>
              <w:bidi w:val="0"/>
              <w:spacing w:before="0" w:after="283"/>
              <w:jc w:val="left"/>
              <w:rPr/>
            </w:pPr>
            <w:r>
              <w:rPr/>
              <w:t>  </w:t>
            </w:r>
          </w:p>
        </w:tc>
        <w:tc>
          <w:tcPr>
            <w:tcW w:w="7909" w:type="dxa"/>
            <w:tcBorders/>
          </w:tcPr>
          <w:p>
            <w:pPr>
              <w:pStyle w:val="TableContents"/>
              <w:bidi w:val="0"/>
              <w:spacing w:before="0" w:after="283"/>
              <w:jc w:val="left"/>
              <w:rPr/>
            </w:pPr>
            <w:r>
              <w:rPr/>
              <w:t>Lenders &amp; Commitments</w:t>
            </w:r>
          </w:p>
        </w:tc>
      </w:tr>
      <w:tr>
        <w:trPr/>
        <w:tc>
          <w:tcPr>
            <w:tcW w:w="1614" w:type="dxa"/>
            <w:tcBorders/>
          </w:tcPr>
          <w:p>
            <w:pPr>
              <w:pStyle w:val="TableContents"/>
              <w:bidi w:val="0"/>
              <w:spacing w:before="0" w:after="283"/>
              <w:jc w:val="left"/>
              <w:rPr/>
            </w:pPr>
            <w:r>
              <w:rPr/>
              <w:t>SCHEDULE II</w:t>
            </w:r>
          </w:p>
        </w:tc>
        <w:tc>
          <w:tcPr>
            <w:tcW w:w="225"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w:t>
            </w:r>
          </w:p>
        </w:tc>
        <w:tc>
          <w:tcPr>
            <w:tcW w:w="136" w:type="dxa"/>
            <w:tcBorders/>
            <w:vAlign w:val="bottom"/>
          </w:tcPr>
          <w:p>
            <w:pPr>
              <w:pStyle w:val="TableContents"/>
              <w:bidi w:val="0"/>
              <w:spacing w:before="0" w:after="283"/>
              <w:jc w:val="left"/>
              <w:rPr/>
            </w:pPr>
            <w:r>
              <w:rPr/>
              <w:t>  </w:t>
            </w:r>
          </w:p>
        </w:tc>
        <w:tc>
          <w:tcPr>
            <w:tcW w:w="7909" w:type="dxa"/>
            <w:tcBorders/>
          </w:tcPr>
          <w:p>
            <w:pPr>
              <w:pStyle w:val="TableContents"/>
              <w:bidi w:val="0"/>
              <w:spacing w:before="0" w:after="283"/>
              <w:jc w:val="left"/>
              <w:rPr/>
            </w:pPr>
            <w:r>
              <w:rPr/>
              <w:t>Account Details</w:t>
            </w:r>
          </w:p>
        </w:tc>
      </w:tr>
      <w:tr>
        <w:trPr/>
        <w:tc>
          <w:tcPr>
            <w:tcW w:w="1614" w:type="dxa"/>
            <w:tcBorders/>
          </w:tcPr>
          <w:p>
            <w:pPr>
              <w:pStyle w:val="TableContents"/>
              <w:bidi w:val="0"/>
              <w:spacing w:before="0" w:after="283"/>
              <w:jc w:val="left"/>
              <w:rPr/>
            </w:pPr>
            <w:r>
              <w:rPr/>
              <w:t>SCHEDULE III</w:t>
            </w:r>
          </w:p>
        </w:tc>
        <w:tc>
          <w:tcPr>
            <w:tcW w:w="225"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w:t>
            </w:r>
          </w:p>
        </w:tc>
        <w:tc>
          <w:tcPr>
            <w:tcW w:w="136" w:type="dxa"/>
            <w:tcBorders/>
            <w:vAlign w:val="bottom"/>
          </w:tcPr>
          <w:p>
            <w:pPr>
              <w:pStyle w:val="TableContents"/>
              <w:bidi w:val="0"/>
              <w:spacing w:before="0" w:after="283"/>
              <w:jc w:val="left"/>
              <w:rPr/>
            </w:pPr>
            <w:r>
              <w:rPr/>
              <w:t>  </w:t>
            </w:r>
          </w:p>
        </w:tc>
        <w:tc>
          <w:tcPr>
            <w:tcW w:w="7909" w:type="dxa"/>
            <w:tcBorders/>
          </w:tcPr>
          <w:p>
            <w:pPr>
              <w:pStyle w:val="TableContents"/>
              <w:bidi w:val="0"/>
              <w:spacing w:before="0" w:after="283"/>
              <w:jc w:val="left"/>
              <w:rPr/>
            </w:pPr>
            <w:r>
              <w:rPr/>
              <w:t>Notice Addresses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 RECEIVABLES FINANCING AGREEMENT (as amended, restated, supplemented or otherwise modified from time to time, this “</w:t>
      </w:r>
      <w:r>
        <w:rPr>
          <w:rFonts w:ascii="Times New Roman" w:hAnsi="Times New Roman"/>
          <w:sz w:val="20"/>
          <w:u w:val="single"/>
        </w:rPr>
        <w:t>Agreement</w:t>
      </w:r>
      <w:r>
        <w:rPr>
          <w:rFonts w:ascii="Times New Roman" w:hAnsi="Times New Roman"/>
          <w:sz w:val="20"/>
        </w:rPr>
        <w:t xml:space="preserve">”) is entered into as of February 14, 2023, by and among the following parties: </w:t>
      </w:r>
    </w:p>
    <w:p>
      <w:pPr>
        <w:pStyle w:val="TextBody"/>
        <w:bidi w:val="0"/>
        <w:spacing w:before="120" w:after="0"/>
        <w:jc w:val="left"/>
        <w:rPr>
          <w:rFonts w:ascii="Times New Roman" w:hAnsi="Times New Roman"/>
          <w:sz w:val="20"/>
        </w:rPr>
      </w:pPr>
      <w:r>
        <w:rPr>
          <w:rFonts w:ascii="Times New Roman" w:hAnsi="Times New Roman"/>
          <w:sz w:val="20"/>
        </w:rPr>
        <w:t>(i) SABRE SECURITIZATION, LLC, a Delaware limited liability company (the “</w:t>
      </w:r>
      <w:r>
        <w:rPr>
          <w:rFonts w:ascii="Times New Roman" w:hAnsi="Times New Roman"/>
          <w:sz w:val="20"/>
          <w:u w:val="single"/>
        </w:rPr>
        <w:t>Borrower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the Persons from time to time party hereto as Lenders and Lender Representatives; </w:t>
      </w:r>
    </w:p>
    <w:p>
      <w:pPr>
        <w:pStyle w:val="TextBody"/>
        <w:bidi w:val="0"/>
        <w:spacing w:before="120" w:after="0"/>
        <w:jc w:val="left"/>
        <w:rPr>
          <w:rFonts w:ascii="Times New Roman" w:hAnsi="Times New Roman"/>
          <w:sz w:val="20"/>
        </w:rPr>
      </w:pPr>
      <w:r>
        <w:rPr>
          <w:rFonts w:ascii="Times New Roman" w:hAnsi="Times New Roman"/>
          <w:sz w:val="20"/>
        </w:rPr>
        <w:t>(iii) PNC BANK, NATIONAL ASSOCIATION (“</w:t>
      </w:r>
      <w:r>
        <w:rPr>
          <w:rFonts w:ascii="Times New Roman" w:hAnsi="Times New Roman"/>
          <w:sz w:val="20"/>
          <w:u w:val="single"/>
        </w:rPr>
        <w:t>PNC</w:t>
      </w:r>
      <w:r>
        <w:rPr>
          <w:rFonts w:ascii="Times New Roman" w:hAnsi="Times New Roman"/>
          <w:sz w:val="20"/>
        </w:rPr>
        <w:t xml:space="preserve">”), as Administrative Agent; </w:t>
      </w:r>
    </w:p>
    <w:p>
      <w:pPr>
        <w:pStyle w:val="TextBody"/>
        <w:bidi w:val="0"/>
        <w:spacing w:before="120" w:after="0"/>
        <w:jc w:val="left"/>
        <w:rPr>
          <w:rFonts w:ascii="Times New Roman" w:hAnsi="Times New Roman"/>
          <w:sz w:val="20"/>
        </w:rPr>
      </w:pPr>
      <w:r>
        <w:rPr>
          <w:rFonts w:ascii="Times New Roman" w:hAnsi="Times New Roman"/>
          <w:sz w:val="20"/>
        </w:rPr>
        <w:t>(iv) SABRE GLBL INC., a Delaware corporation, in its individual capacity (“</w:t>
      </w:r>
      <w:r>
        <w:rPr>
          <w:rFonts w:ascii="Times New Roman" w:hAnsi="Times New Roman"/>
          <w:sz w:val="20"/>
          <w:u w:val="single"/>
        </w:rPr>
        <w:t>Sabre</w:t>
      </w:r>
      <w:r>
        <w:rPr>
          <w:rFonts w:ascii="Times New Roman" w:hAnsi="Times New Roman"/>
          <w:sz w:val="20"/>
        </w:rPr>
        <w:t>”) and as an initial Servicer (in such capacity, together with its successors and assigns in such capacity, the “</w:t>
      </w:r>
      <w:r>
        <w:rPr>
          <w:rFonts w:ascii="Times New Roman" w:hAnsi="Times New Roman"/>
          <w:sz w:val="20"/>
          <w:u w:val="single"/>
        </w:rPr>
        <w:t>U.S. Servicer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(v) SABRE GLOBAL TECHNOLOGIES LIMITED a private limited company organized under the laws of England and Wales, in its individual capacity (“Sabre Limited”) and as an initial Servicer (in such capacity, together with its successors and assigns in such capacity, the “UK Servicer”);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(vi)</w:t>
      </w:r>
      <w:r>
        <w:rPr>
          <w:rFonts w:ascii="Times New Roman" w:hAnsi="Times New Roman"/>
          <w:sz w:val="20"/>
        </w:rPr>
        <w:t xml:space="preserve"> </w:t>
      </w:r>
      <w:r>
        <w:rPr>
          <w:rFonts w:ascii="Times New Roman" w:hAnsi="Times New Roman"/>
          <w:strike/>
          <w:color w:val="FF0000"/>
          <w:sz w:val="20"/>
        </w:rPr>
        <w:t>(v) </w:t>
      </w:r>
      <w:r>
        <w:rPr>
          <w:rFonts w:ascii="Times New Roman" w:hAnsi="Times New Roman"/>
          <w:sz w:val="20"/>
        </w:rPr>
        <w:t xml:space="preserve">SABRE </w:t>
      </w:r>
      <w:r>
        <w:rPr>
          <w:rFonts w:ascii="Times New Roman" w:hAnsi="Times New Roman"/>
          <w:strike/>
          <w:color w:val="FF0000"/>
          <w:sz w:val="20"/>
        </w:rPr>
        <w:t>GLOBAL TECHNOLOGIES LIMITED</w:t>
      </w:r>
      <w:r>
        <w:rPr>
          <w:rFonts w:ascii="Times New Roman" w:hAnsi="Times New Roman"/>
          <w:color w:val="0000FF"/>
          <w:sz w:val="20"/>
          <w:u w:val="single"/>
          <w:bdr w:val="double" w:sz="2" w:space="1" w:color="000000"/>
        </w:rPr>
        <w:t>ASIA PACIFIC PTE. LTD.,</w:t>
      </w:r>
      <w:r>
        <w:rPr>
          <w:rFonts w:ascii="Times New Roman" w:hAnsi="Times New Roman"/>
          <w:sz w:val="20"/>
        </w:rPr>
        <w:t xml:space="preserve"> a private limited company </w:t>
      </w:r>
      <w:r>
        <w:rPr>
          <w:rFonts w:ascii="Times New Roman" w:hAnsi="Times New Roman"/>
          <w:strike/>
          <w:color w:val="FF0000"/>
          <w:sz w:val="20"/>
        </w:rPr>
        <w:t>organized</w:t>
      </w:r>
      <w:r>
        <w:rPr>
          <w:rFonts w:ascii="Times New Roman" w:hAnsi="Times New Roman"/>
          <w:color w:val="0000FF"/>
          <w:sz w:val="20"/>
          <w:u w:val="single"/>
          <w:bdr w:val="double" w:sz="2" w:space="1" w:color="000000"/>
        </w:rPr>
        <w:t xml:space="preserve">incorporated </w:t>
      </w:r>
      <w:r>
        <w:rPr>
          <w:rFonts w:ascii="Times New Roman" w:hAnsi="Times New Roman"/>
          <w:sz w:val="20"/>
        </w:rPr>
        <w:t xml:space="preserve">under the laws of </w:t>
      </w:r>
      <w:r>
        <w:rPr>
          <w:rFonts w:ascii="Times New Roman" w:hAnsi="Times New Roman"/>
          <w:strike/>
          <w:color w:val="FF0000"/>
          <w:sz w:val="20"/>
        </w:rPr>
        <w:t>England and Wales</w:t>
      </w:r>
      <w:r>
        <w:rPr>
          <w:rFonts w:ascii="Times New Roman" w:hAnsi="Times New Roman"/>
          <w:color w:val="0000FF"/>
          <w:sz w:val="20"/>
          <w:u w:val="single"/>
          <w:bdr w:val="double" w:sz="2" w:space="1" w:color="000000"/>
        </w:rPr>
        <w:t>Singapore with UEN 199707985K</w:t>
      </w:r>
      <w:r>
        <w:rPr>
          <w:rFonts w:ascii="Times New Roman" w:hAnsi="Times New Roman"/>
          <w:sz w:val="20"/>
        </w:rPr>
        <w:t>, in its individual capacity (“</w:t>
      </w:r>
      <w:r>
        <w:rPr>
          <w:rFonts w:ascii="Times New Roman" w:hAnsi="Times New Roman"/>
          <w:sz w:val="20"/>
          <w:u w:val="single"/>
        </w:rPr>
        <w:t>Sabre</w:t>
      </w:r>
      <w:r>
        <w:rPr>
          <w:rFonts w:ascii="Times New Roman" w:hAnsi="Times New Roman"/>
          <w:sz w:val="20"/>
        </w:rPr>
        <w:t xml:space="preserve"> </w:t>
      </w:r>
      <w:r>
        <w:rPr>
          <w:rFonts w:ascii="Times New Roman" w:hAnsi="Times New Roman"/>
          <w:strike/>
          <w:color w:val="FF0000"/>
          <w:sz w:val="20"/>
          <w:u w:val="single"/>
        </w:rPr>
        <w:t>Limited</w:t>
      </w:r>
      <w:r>
        <w:rPr>
          <w:rFonts w:ascii="Times New Roman" w:hAnsi="Times New Roman"/>
          <w:color w:val="0000FF"/>
          <w:sz w:val="20"/>
          <w:u w:val="single"/>
          <w:bdr w:val="double" w:sz="2" w:space="1" w:color="000000"/>
        </w:rPr>
        <w:t xml:space="preserve">AP </w:t>
      </w:r>
      <w:r>
        <w:rPr>
          <w:rFonts w:ascii="Times New Roman" w:hAnsi="Times New Roman"/>
          <w:sz w:val="20"/>
        </w:rPr>
        <w:t>”) and as an initial Servicer (in such capacity, together with its successors and assigns in such capacity, the “</w:t>
      </w:r>
      <w:r>
        <w:rPr>
          <w:rFonts w:ascii="Times New Roman" w:hAnsi="Times New Roman"/>
          <w:strike/>
          <w:color w:val="FF0000"/>
          <w:sz w:val="20"/>
          <w:u w:val="single"/>
        </w:rPr>
        <w:t>UK</w:t>
      </w:r>
      <w:r>
        <w:rPr>
          <w:rFonts w:ascii="Times New Roman" w:hAnsi="Times New Roman"/>
          <w:color w:val="0000FF"/>
          <w:sz w:val="20"/>
          <w:u w:val="single"/>
          <w:bdr w:val="double" w:sz="2" w:space="1" w:color="000000"/>
        </w:rPr>
        <w:t>SG</w:t>
      </w:r>
      <w:r>
        <w:rPr>
          <w:rFonts w:ascii="Times New Roman" w:hAnsi="Times New Roman"/>
          <w:sz w:val="20"/>
          <w:u w:val="single"/>
        </w:rPr>
        <w:t xml:space="preserve"> Servicer</w:t>
      </w:r>
      <w:r>
        <w:rPr>
          <w:rFonts w:ascii="Times New Roman" w:hAnsi="Times New Roman"/>
          <w:sz w:val="20"/>
        </w:rPr>
        <w:t>”, together with the U.S. Servicer</w:t>
      </w:r>
      <w:r>
        <w:rPr>
          <w:rFonts w:ascii="Times New Roman" w:hAnsi="Times New Roman"/>
          <w:color w:val="0000FF"/>
          <w:sz w:val="20"/>
          <w:u w:val="single"/>
          <w:bdr w:val="double" w:sz="2" w:space="1" w:color="000000"/>
        </w:rPr>
        <w:t xml:space="preserve"> and the UK Servicer</w:t>
      </w:r>
      <w:r>
        <w:rPr>
          <w:rFonts w:ascii="Times New Roman" w:hAnsi="Times New Roman"/>
          <w:sz w:val="20"/>
        </w:rPr>
        <w:t>, collectively the “</w:t>
      </w:r>
      <w:r>
        <w:rPr>
          <w:rFonts w:ascii="Times New Roman" w:hAnsi="Times New Roman"/>
          <w:sz w:val="20"/>
          <w:u w:val="single"/>
        </w:rPr>
        <w:t>Servicers</w:t>
      </w:r>
      <w:r>
        <w:rPr>
          <w:rFonts w:ascii="Times New Roman" w:hAnsi="Times New Roman"/>
          <w:sz w:val="20"/>
        </w:rPr>
        <w:t>” and each a “</w:t>
      </w:r>
      <w:r>
        <w:rPr>
          <w:rFonts w:ascii="Times New Roman" w:hAnsi="Times New Roman"/>
          <w:sz w:val="20"/>
          <w:u w:val="single"/>
        </w:rPr>
        <w:t>Servicer</w:t>
      </w:r>
      <w:r>
        <w:rPr>
          <w:rFonts w:ascii="Times New Roman" w:hAnsi="Times New Roman"/>
          <w:sz w:val="20"/>
        </w:rPr>
        <w:t>”)</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w:t>
      </w: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(vii)</w:t>
      </w:r>
      <w:r>
        <w:rPr>
          <w:rFonts w:ascii="Times New Roman" w:hAnsi="Times New Roman"/>
          <w:sz w:val="20"/>
        </w:rPr>
        <w:t xml:space="preserve"> </w:t>
      </w:r>
      <w:r>
        <w:rPr>
          <w:rFonts w:ascii="Times New Roman" w:hAnsi="Times New Roman"/>
          <w:strike/>
          <w:color w:val="FF0000"/>
          <w:sz w:val="20"/>
        </w:rPr>
        <w:t>(vi)</w:t>
      </w:r>
      <w:r>
        <w:rPr>
          <w:rFonts w:ascii="Times New Roman" w:hAnsi="Times New Roman"/>
          <w:sz w:val="20"/>
        </w:rPr>
        <w:t xml:space="preserve"> PNC CAPITAL MARKETS LLC, a Pennsylvania limited liability company, as Structuring Agent. </w:t>
      </w:r>
    </w:p>
    <w:p>
      <w:pPr>
        <w:pStyle w:val="TextBody"/>
        <w:bidi w:val="0"/>
        <w:spacing w:before="480" w:after="0"/>
        <w:jc w:val="center"/>
        <w:rPr>
          <w:rFonts w:ascii="Times New Roman" w:hAnsi="Times New Roman"/>
          <w:sz w:val="20"/>
        </w:rPr>
      </w:pPr>
      <w:r>
        <w:rPr>
          <w:rFonts w:ascii="Times New Roman" w:hAnsi="Times New Roman"/>
          <w:sz w:val="20"/>
        </w:rPr>
        <w:t xml:space="preserve">PRELIMINARY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Borrower has acquired, and will acquire from time to time, Receivables from the Originator(s) pursuant to a Transfer Agreement. The Borrower has requested that the Lenders make Loans from time to time to the Borrower, on the terms, and subject to the conditions set forth herein, secured by, among other things, the Receivables.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mutual agreements, provisions and covenants contained herein, the sufficiency of which is hereby acknowledged, the parties hereto agree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b/>
          <w:sz w:val="20"/>
          <w:u w:val="single"/>
        </w:rPr>
        <w:t>Certain Defined Terms</w:t>
      </w:r>
      <w:r>
        <w:rPr>
          <w:rFonts w:ascii="Times New Roman" w:hAnsi="Times New Roman"/>
          <w:sz w:val="20"/>
        </w:rPr>
        <w:t xml:space="preserve">. As used in this Agreement, the following terms shall have the following meanings (such meanings to be equally applicable to both the singular and plural forms of the terms defined): </w:t>
      </w:r>
    </w:p>
    <w:p>
      <w:pPr>
        <w:pStyle w:val="TextBody"/>
        <w:bidi w:val="0"/>
        <w:spacing w:before="240" w:after="0"/>
        <w:jc w:val="left"/>
        <w:rPr/>
      </w:pPr>
      <w:r>
        <w:rPr/>
        <w:t>“</w:t>
      </w:r>
      <w:r>
        <w:rPr>
          <w:rFonts w:ascii="Times New Roman" w:hAnsi="Times New Roman"/>
          <w:sz w:val="20"/>
          <w:u w:val="single"/>
        </w:rPr>
        <w:t>Account Control Agreement</w:t>
      </w:r>
      <w:r>
        <w:rPr>
          <w:rFonts w:ascii="Times New Roman" w:hAnsi="Times New Roman"/>
          <w:sz w:val="20"/>
        </w:rPr>
        <w:t xml:space="preserve">” means each agreement, in form and substance reasonably satisfactory to the Administrative Agent, among the Borrower, a Servicer (if applicable), the Administrative Agent and a Collection Account Bank, governing the terms of the related Collection Accounts that, with respect to U.S. Collection Accounts, provides the Administrative Agent with control within the meaning of the UCC over the deposit accounts subject to such agreement. </w:t>
      </w:r>
    </w:p>
    <w:p>
      <w:pPr>
        <w:pStyle w:val="TextBody"/>
        <w:bidi w:val="0"/>
        <w:spacing w:before="240" w:after="0"/>
        <w:jc w:val="left"/>
        <w:rPr/>
      </w:pPr>
      <w:r>
        <w:rPr/>
        <w:t>“</w:t>
      </w:r>
      <w:r>
        <w:rPr>
          <w:rFonts w:ascii="Times New Roman" w:hAnsi="Times New Roman"/>
          <w:sz w:val="20"/>
          <w:u w:val="single"/>
        </w:rPr>
        <w:t>Administrative Agent</w:t>
      </w:r>
      <w:r>
        <w:rPr>
          <w:rFonts w:ascii="Times New Roman" w:hAnsi="Times New Roman"/>
          <w:sz w:val="20"/>
        </w:rPr>
        <w:t xml:space="preserve">” means PNC, in its capacity as contractual representative for the Credit Parties, and any successor thereto in such capacity appointed in accordance with the terms hereof. </w:t>
      </w:r>
    </w:p>
    <w:p>
      <w:pPr>
        <w:pStyle w:val="TextBody"/>
        <w:bidi w:val="0"/>
        <w:spacing w:before="240" w:after="0"/>
        <w:jc w:val="left"/>
        <w:rPr/>
      </w:pPr>
      <w:r>
        <w:rPr/>
        <w:t>“</w:t>
      </w:r>
      <w:r>
        <w:rPr>
          <w:rFonts w:ascii="Times New Roman" w:hAnsi="Times New Roman"/>
          <w:sz w:val="20"/>
          <w:u w:val="single"/>
        </w:rPr>
        <w:t>Administrative Agent Transition Fee</w:t>
      </w:r>
      <w:r>
        <w:rPr>
          <w:rFonts w:ascii="Times New Roman" w:hAnsi="Times New Roman"/>
          <w:sz w:val="20"/>
        </w:rPr>
        <w:t xml:space="preserve">” has the meaning set forth in the Fee Letter. </w:t>
      </w:r>
    </w:p>
    <w:p>
      <w:pPr>
        <w:pStyle w:val="TextBody"/>
        <w:bidi w:val="0"/>
        <w:spacing w:before="240" w:after="0"/>
        <w:jc w:val="left"/>
        <w:rPr/>
      </w:pPr>
      <w:r>
        <w:rPr/>
        <w:t>“</w:t>
      </w:r>
      <w:r>
        <w:rPr>
          <w:rFonts w:ascii="Times New Roman" w:hAnsi="Times New Roman"/>
          <w:sz w:val="20"/>
          <w:u w:val="single"/>
        </w:rPr>
        <w:t>Administrative Questionnaire</w:t>
      </w:r>
      <w:r>
        <w:rPr>
          <w:rFonts w:ascii="Times New Roman" w:hAnsi="Times New Roman"/>
          <w:sz w:val="20"/>
        </w:rPr>
        <w:t xml:space="preserve">” means an administrative questionnaire in a form supplied by the Administrative Agent. </w:t>
      </w:r>
    </w:p>
    <w:p>
      <w:pPr>
        <w:pStyle w:val="TextBody"/>
        <w:bidi w:val="0"/>
        <w:spacing w:before="240" w:after="0"/>
        <w:jc w:val="left"/>
        <w:rPr/>
      </w:pPr>
      <w:r>
        <w:rPr/>
        <w:t>“</w:t>
      </w:r>
      <w:r>
        <w:rPr>
          <w:rFonts w:ascii="Times New Roman" w:hAnsi="Times New Roman"/>
          <w:sz w:val="20"/>
          <w:u w:val="single"/>
        </w:rPr>
        <w:t>Adverse Claim</w:t>
      </w:r>
      <w:r>
        <w:rPr>
          <w:rFonts w:ascii="Times New Roman" w:hAnsi="Times New Roman"/>
          <w:sz w:val="20"/>
        </w:rPr>
        <w:t xml:space="preserve">” means any Lien, other than a Lien in favor of or assigned to the Administrative Agent (for the benefit of the Secured Parties). </w:t>
      </w:r>
    </w:p>
    <w:p>
      <w:pPr>
        <w:pStyle w:val="TextBody"/>
        <w:bidi w:val="0"/>
        <w:spacing w:before="240" w:after="0"/>
        <w:jc w:val="left"/>
        <w:rPr/>
      </w:pPr>
      <w:r>
        <w:rPr/>
        <w:t>“</w:t>
      </w:r>
      <w:r>
        <w:rPr>
          <w:rFonts w:ascii="Times New Roman" w:hAnsi="Times New Roman"/>
          <w:sz w:val="20"/>
          <w:u w:val="single"/>
        </w:rPr>
        <w:t>Affected Financial Institution</w:t>
      </w:r>
      <w:r>
        <w:rPr>
          <w:rFonts w:ascii="Times New Roman" w:hAnsi="Times New Roman"/>
          <w:sz w:val="20"/>
        </w:rPr>
        <w:t xml:space="preserve">” means (a) any EEA Financial Institution or (b) any UK Financial Institution.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with respect to a specified Person, another Person that directly or indirectly through one or more intermediaries, Controls or is Controlled by or is under common Control with the Person specified. </w:t>
      </w:r>
    </w:p>
    <w:p>
      <w:pPr>
        <w:pStyle w:val="TextBody"/>
        <w:bidi w:val="0"/>
        <w:spacing w:before="240" w:after="0"/>
        <w:jc w:val="left"/>
        <w:rPr/>
      </w:pPr>
      <w:r>
        <w:rPr/>
        <w:t>“</w:t>
      </w:r>
      <w:r>
        <w:rPr>
          <w:rFonts w:ascii="Times New Roman" w:hAnsi="Times New Roman"/>
          <w:sz w:val="20"/>
          <w:u w:val="single"/>
        </w:rPr>
        <w:t>Agent Parties</w:t>
      </w:r>
      <w:r>
        <w:rPr>
          <w:rFonts w:ascii="Times New Roman" w:hAnsi="Times New Roman"/>
          <w:sz w:val="20"/>
        </w:rPr>
        <w:t xml:space="preserve">” has the meaning set forth in </w:t>
      </w:r>
      <w:r>
        <w:rPr>
          <w:rFonts w:ascii="Times New Roman" w:hAnsi="Times New Roman"/>
          <w:sz w:val="20"/>
          <w:u w:val="single"/>
        </w:rPr>
        <w:t>Section 12.03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Aggregate Interest</w:t>
      </w:r>
      <w:r>
        <w:rPr>
          <w:rFonts w:ascii="Times New Roman" w:hAnsi="Times New Roman"/>
          <w:sz w:val="20"/>
        </w:rPr>
        <w:t xml:space="preserve">” means, at any time, the aggregate accrued and unpaid Interest on the Loans of all Lenders at such time. </w:t>
      </w:r>
    </w:p>
    <w:p>
      <w:pPr>
        <w:pStyle w:val="TextBody"/>
        <w:bidi w:val="0"/>
        <w:spacing w:before="240" w:after="0"/>
        <w:jc w:val="left"/>
        <w:rPr/>
      </w:pPr>
      <w:r>
        <w:rPr/>
        <w:t>“</w:t>
      </w:r>
      <w:r>
        <w:rPr>
          <w:rFonts w:ascii="Times New Roman" w:hAnsi="Times New Roman"/>
          <w:sz w:val="20"/>
          <w:u w:val="single"/>
        </w:rPr>
        <w:t>Aggregate Class A Loan Amount</w:t>
      </w:r>
      <w:r>
        <w:rPr>
          <w:rFonts w:ascii="Times New Roman" w:hAnsi="Times New Roman"/>
          <w:sz w:val="20"/>
        </w:rPr>
        <w:t xml:space="preserve">” means, at any time, the aggregate outstanding Principal amounts of the Class A Loans of each Class A Lender. </w:t>
      </w:r>
    </w:p>
    <w:p>
      <w:pPr>
        <w:pStyle w:val="TextBody"/>
        <w:bidi w:val="0"/>
        <w:spacing w:before="240" w:after="0"/>
        <w:jc w:val="left"/>
        <w:rPr/>
      </w:pPr>
      <w:r>
        <w:rPr/>
        <w:t>“</w:t>
      </w:r>
      <w:r>
        <w:rPr>
          <w:rFonts w:ascii="Times New Roman" w:hAnsi="Times New Roman"/>
          <w:sz w:val="20"/>
          <w:u w:val="single"/>
        </w:rPr>
        <w:t>Aggregate Class B Term Loan Amount</w:t>
      </w:r>
      <w:r>
        <w:rPr>
          <w:rFonts w:ascii="Times New Roman" w:hAnsi="Times New Roman"/>
          <w:sz w:val="20"/>
        </w:rPr>
        <w:t xml:space="preserve">” means, at any time, the aggregate outstanding Principal amounts of the Class B Term Loans of each Class B Lender. </w:t>
      </w:r>
    </w:p>
    <w:p>
      <w:pPr>
        <w:pStyle w:val="TextBody"/>
        <w:bidi w:val="0"/>
        <w:spacing w:before="240" w:after="0"/>
        <w:jc w:val="left"/>
        <w:rPr/>
      </w:pPr>
      <w:r>
        <w:rPr/>
        <w:t>“</w:t>
      </w:r>
      <w:r>
        <w:rPr>
          <w:rFonts w:ascii="Times New Roman" w:hAnsi="Times New Roman"/>
          <w:sz w:val="20"/>
          <w:u w:val="single"/>
        </w:rPr>
        <w:t>Aggregate Principal</w:t>
      </w:r>
      <w:r>
        <w:rPr>
          <w:rFonts w:ascii="Times New Roman" w:hAnsi="Times New Roman"/>
          <w:sz w:val="20"/>
        </w:rPr>
        <w:t xml:space="preserve">” means, at any time, the aggregate outstanding Principal of all Lenders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Agreement</w:t>
      </w:r>
      <w:r>
        <w:rPr>
          <w:rFonts w:ascii="Times New Roman" w:hAnsi="Times New Roman"/>
          <w:sz w:val="20"/>
        </w:rPr>
        <w:t xml:space="preserve">” has the meaning set forth in the </w:t>
      </w:r>
      <w:r>
        <w:rPr>
          <w:rFonts w:ascii="Times New Roman" w:hAnsi="Times New Roman"/>
          <w:sz w:val="20"/>
          <w:u w:val="single"/>
        </w:rPr>
        <w:t>preamble</w:t>
      </w:r>
      <w:r>
        <w:rPr>
          <w:rFonts w:ascii="Times New Roman" w:hAnsi="Times New Roman"/>
          <w:sz w:val="20"/>
        </w:rPr>
        <w:t xml:space="preserve"> to this Agreement. </w:t>
      </w:r>
    </w:p>
    <w:p>
      <w:pPr>
        <w:pStyle w:val="TextBody"/>
        <w:bidi w:val="0"/>
        <w:spacing w:before="240" w:after="0"/>
        <w:jc w:val="left"/>
        <w:rPr/>
      </w:pPr>
      <w:r>
        <w:rPr>
          <w:strike/>
          <w:color w:val="FF0000"/>
        </w:rPr>
        <w:t>“</w:t>
      </w:r>
      <w:r>
        <w:rPr>
          <w:rFonts w:ascii="Times New Roman" w:hAnsi="Times New Roman"/>
          <w:strike/>
          <w:color w:val="FF0000"/>
          <w:sz w:val="20"/>
          <w:u w:val="single"/>
        </w:rPr>
        <w:t>AirCentre Receivable</w:t>
      </w:r>
      <w:r>
        <w:rPr>
          <w:rFonts w:ascii="Times New Roman" w:hAnsi="Times New Roman"/>
          <w:strike/>
          <w:color w:val="FF0000"/>
          <w:sz w:val="20"/>
        </w:rPr>
        <w:t xml:space="preserve">” means each Receivable owing to a non-Affiliated Person that are serviced by the Servicers pursuant to a transition services agreement, all of which the Servicer has assigned a customer identification number that begins with the letter “V” or “FE” in Sabre’s reporting system, in each case, based on Sabre’s reporting practices as of the Closing Date. </w:t>
      </w:r>
    </w:p>
    <w:p>
      <w:pPr>
        <w:pStyle w:val="TextBody"/>
        <w:bidi w:val="0"/>
        <w:spacing w:before="240" w:after="0"/>
        <w:jc w:val="left"/>
        <w:rPr/>
      </w:pPr>
      <w:r>
        <w:rPr/>
        <w:t>“</w:t>
      </w:r>
      <w:r>
        <w:rPr>
          <w:rFonts w:ascii="Times New Roman" w:hAnsi="Times New Roman"/>
          <w:sz w:val="20"/>
          <w:u w:val="single"/>
        </w:rPr>
        <w:t>Alternative Currency</w:t>
      </w:r>
      <w:r>
        <w:rPr>
          <w:rFonts w:ascii="Times New Roman" w:hAnsi="Times New Roman"/>
          <w:sz w:val="20"/>
        </w:rPr>
        <w:t xml:space="preserve">” means Australian Dollars, Canadian Dollars, Euro, Sterling and Swedish Krona. </w:t>
      </w:r>
    </w:p>
    <w:p>
      <w:pPr>
        <w:pStyle w:val="TextBody"/>
        <w:bidi w:val="0"/>
        <w:spacing w:before="240" w:after="0"/>
        <w:jc w:val="left"/>
        <w:rPr/>
      </w:pPr>
      <w:r>
        <w:rPr/>
        <w:t>“</w:t>
      </w:r>
      <w:r>
        <w:rPr>
          <w:rFonts w:ascii="Times New Roman" w:hAnsi="Times New Roman"/>
          <w:sz w:val="20"/>
          <w:u w:val="single"/>
        </w:rPr>
        <w:t>Anti-Corruption Laws</w:t>
      </w:r>
      <w:r>
        <w:rPr>
          <w:rFonts w:ascii="Times New Roman" w:hAnsi="Times New Roman"/>
          <w:sz w:val="20"/>
        </w:rPr>
        <w:t xml:space="preserve">” means (a) the U.S. Foreign Corrupt Practices Act of 1977, as amended; (b) the U.K. Bribery Act 2010, as amended; and (c) any other applicable Law relating to anti-bribery or anti-corruption in any jurisdiction in which any Borrower-Related Party is located or doing business. </w:t>
      </w:r>
    </w:p>
    <w:p>
      <w:pPr>
        <w:pStyle w:val="TextBody"/>
        <w:bidi w:val="0"/>
        <w:spacing w:before="240" w:after="0"/>
        <w:jc w:val="left"/>
        <w:rPr/>
      </w:pPr>
      <w:r>
        <w:rPr/>
        <w:t>“</w:t>
      </w:r>
      <w:r>
        <w:rPr>
          <w:rFonts w:ascii="Times New Roman" w:hAnsi="Times New Roman"/>
          <w:sz w:val="20"/>
          <w:u w:val="single"/>
        </w:rPr>
        <w:t>Anti-Terrorism Law</w:t>
      </w:r>
      <w:r>
        <w:rPr>
          <w:rFonts w:ascii="Times New Roman" w:hAnsi="Times New Roman"/>
          <w:sz w:val="20"/>
        </w:rPr>
        <w:t xml:space="preserve">” means any Law in force or hereinafter enacted related to terrorism, money laundering, or economic sanctions, including the Bank Secrecy Act, 31 U.S.C. § 5311 </w:t>
      </w:r>
      <w:r>
        <w:rPr>
          <w:rFonts w:ascii="Times New Roman" w:hAnsi="Times New Roman"/>
          <w:i/>
          <w:sz w:val="20"/>
        </w:rPr>
        <w:t>et seq.</w:t>
      </w:r>
      <w:r>
        <w:rPr>
          <w:rFonts w:ascii="Times New Roman" w:hAnsi="Times New Roman"/>
          <w:sz w:val="20"/>
        </w:rPr>
        <w:t xml:space="preserve">, the USA PATRIOT Act, the International Emergency Economic Powers Act, 50 U.S.C. 1701, </w:t>
      </w:r>
      <w:r>
        <w:rPr>
          <w:rFonts w:ascii="Times New Roman" w:hAnsi="Times New Roman"/>
          <w:i/>
          <w:sz w:val="20"/>
        </w:rPr>
        <w:t>et seq.,</w:t>
      </w:r>
      <w:r>
        <w:rPr>
          <w:rFonts w:ascii="Times New Roman" w:hAnsi="Times New Roman"/>
          <w:sz w:val="20"/>
        </w:rPr>
        <w:t xml:space="preserve"> the Trading with the Enemy Act, 50 U.S.C. App. 1, </w:t>
      </w:r>
      <w:r>
        <w:rPr>
          <w:rFonts w:ascii="Times New Roman" w:hAnsi="Times New Roman"/>
          <w:i/>
          <w:sz w:val="20"/>
        </w:rPr>
        <w:t>et seq.</w:t>
      </w:r>
      <w:r>
        <w:rPr>
          <w:rFonts w:ascii="Times New Roman" w:hAnsi="Times New Roman"/>
          <w:sz w:val="20"/>
        </w:rPr>
        <w:t xml:space="preserve">, 18 U.S.C. § 2332d, and 18 U.S.C. § 2339B. </w:t>
      </w:r>
    </w:p>
    <w:p>
      <w:pPr>
        <w:pStyle w:val="TextBody"/>
        <w:bidi w:val="0"/>
        <w:spacing w:before="240" w:after="0"/>
        <w:jc w:val="left"/>
        <w:rPr/>
      </w:pPr>
      <w:r>
        <w:rPr/>
        <w:t>“</w:t>
      </w:r>
      <w:r>
        <w:rPr>
          <w:rFonts w:ascii="Times New Roman" w:hAnsi="Times New Roman"/>
          <w:sz w:val="20"/>
          <w:u w:val="single"/>
        </w:rPr>
        <w:t>Applicable Buy-Out Lender</w:t>
      </w:r>
      <w:r>
        <w:rPr>
          <w:rFonts w:ascii="Times New Roman" w:hAnsi="Times New Roman"/>
          <w:sz w:val="20"/>
        </w:rPr>
        <w:t xml:space="preserve">” means the Class B Lender Representative and/or its Affiliates and Related Funds or, if the Class B Lender Representative and its Affiliates and Related Funds have affirmatively elected to not exercise its option to deliver a Committed Buy-Out Notice at the time the related Committed Buy-Out Notice is delivered, one or more Class B Lenders (as the case may be). </w:t>
      </w:r>
    </w:p>
    <w:p>
      <w:pPr>
        <w:pStyle w:val="TextBody"/>
        <w:bidi w:val="0"/>
        <w:spacing w:before="240" w:after="0"/>
        <w:jc w:val="left"/>
        <w:rPr/>
      </w:pPr>
      <w:r>
        <w:rPr/>
        <w:t>“</w:t>
      </w:r>
      <w:r>
        <w:rPr>
          <w:rFonts w:ascii="Times New Roman" w:hAnsi="Times New Roman"/>
          <w:sz w:val="20"/>
          <w:u w:val="single"/>
        </w:rPr>
        <w:t>Applicable Make-Whole Amount</w:t>
      </w:r>
      <w:r>
        <w:rPr>
          <w:rFonts w:ascii="Times New Roman" w:hAnsi="Times New Roman"/>
          <w:sz w:val="20"/>
        </w:rPr>
        <w:t xml:space="preserve">” means, with respect to any prepayment, mandatory repayment or acceleration (whether automatically or optionally) of outstanding Class B Term Loans, an amount equal to the present value of (a) all scheduled interest payments (calculated (i) on the basis of the interest rate with respect to the Class B Term Loans that is in effect on the date of such </w:t>
      </w:r>
      <w:r>
        <w:rPr>
          <w:rFonts w:ascii="Times New Roman" w:hAnsi="Times New Roman"/>
          <w:strike/>
          <w:color w:val="FF0000"/>
          <w:sz w:val="20"/>
        </w:rPr>
        <w:t xml:space="preserve">repayment, </w:t>
      </w:r>
      <w:r>
        <w:rPr>
          <w:rFonts w:ascii="Times New Roman" w:hAnsi="Times New Roman"/>
          <w:sz w:val="20"/>
        </w:rPr>
        <w:t>prepayment</w:t>
      </w:r>
      <w:r>
        <w:rPr>
          <w:rFonts w:ascii="Times New Roman" w:hAnsi="Times New Roman"/>
          <w:color w:val="0000FF"/>
          <w:sz w:val="20"/>
          <w:u w:val="single"/>
          <w:bdr w:val="double" w:sz="2" w:space="1" w:color="000000"/>
        </w:rPr>
        <w:t>, mandatory repayment</w:t>
      </w:r>
      <w:r>
        <w:rPr>
          <w:rFonts w:ascii="Times New Roman" w:hAnsi="Times New Roman"/>
          <w:sz w:val="20"/>
        </w:rPr>
        <w:t xml:space="preserve"> or acceleration (whether automatically or optionally) and (ii) on the basis of actual days elapsed over a year of three hundred sixty (360) days) due on such Class B Term Loans subject to such event up to and including September 30, </w:t>
      </w:r>
      <w:r>
        <w:rPr>
          <w:rFonts w:ascii="Times New Roman" w:hAnsi="Times New Roman"/>
          <w:strike/>
          <w:color w:val="FF0000"/>
          <w:sz w:val="20"/>
        </w:rPr>
        <w:t>2025</w:t>
      </w:r>
      <w:r>
        <w:rPr>
          <w:rFonts w:ascii="Times New Roman" w:hAnsi="Times New Roman"/>
          <w:color w:val="0000FF"/>
          <w:sz w:val="20"/>
          <w:u w:val="single"/>
          <w:bdr w:val="double" w:sz="2" w:space="1" w:color="000000"/>
        </w:rPr>
        <w:t>2027</w:t>
      </w:r>
      <w:r>
        <w:rPr>
          <w:rFonts w:ascii="Times New Roman" w:hAnsi="Times New Roman"/>
          <w:sz w:val="20"/>
        </w:rPr>
        <w:t xml:space="preserve"> (the “</w:t>
      </w:r>
      <w:r>
        <w:rPr>
          <w:rFonts w:ascii="Times New Roman" w:hAnsi="Times New Roman"/>
          <w:sz w:val="20"/>
          <w:u w:val="single"/>
        </w:rPr>
        <w:t>First Call Date</w:t>
      </w:r>
      <w:r>
        <w:rPr>
          <w:rFonts w:ascii="Times New Roman" w:hAnsi="Times New Roman"/>
          <w:sz w:val="20"/>
        </w:rPr>
        <w:t xml:space="preserve">”) and (b) the applicable Class B Prepayment Premium </w:t>
      </w:r>
      <w:r>
        <w:rPr>
          <w:rFonts w:ascii="Times New Roman" w:hAnsi="Times New Roman"/>
          <w:strike/>
          <w:color w:val="FF0000"/>
          <w:sz w:val="20"/>
        </w:rPr>
        <w:t>payable immediately</w:t>
      </w:r>
      <w:r>
        <w:rPr>
          <w:rFonts w:ascii="Times New Roman" w:hAnsi="Times New Roman"/>
          <w:color w:val="0000FF"/>
          <w:sz w:val="20"/>
          <w:u w:val="single"/>
          <w:bdr w:val="double" w:sz="2" w:space="1" w:color="000000"/>
        </w:rPr>
        <w:t>that would have been payable with respect to such prepayment, mandatory repayment or acceleration (whether automatically or optionally) if it occurred</w:t>
      </w:r>
      <w:r>
        <w:rPr>
          <w:rFonts w:ascii="Times New Roman" w:hAnsi="Times New Roman"/>
          <w:sz w:val="20"/>
        </w:rPr>
        <w:t xml:space="preserve"> after the First Call Date</w:t>
      </w:r>
      <w:r>
        <w:rPr>
          <w:rFonts w:ascii="Times New Roman" w:hAnsi="Times New Roman"/>
          <w:strike/>
          <w:color w:val="FF0000"/>
          <w:sz w:val="20"/>
        </w:rPr>
        <w:t xml:space="preserve"> if such payment or acceleration were occurring at such time</w:t>
      </w:r>
      <w:r>
        <w:rPr>
          <w:rFonts w:ascii="Times New Roman" w:hAnsi="Times New Roman"/>
          <w:sz w:val="20"/>
        </w:rPr>
        <w:t xml:space="preserve">, in each case of clauses (a) and (b), computed using a discount rate equal to the Treasury Rate three Business Days prior to such repayment, prepayment or acceleration date (whether automatically or optionally) plus 50 basis points. </w:t>
      </w:r>
    </w:p>
    <w:p>
      <w:pPr>
        <w:pStyle w:val="TextBody"/>
        <w:bidi w:val="0"/>
        <w:spacing w:before="240" w:after="0"/>
        <w:jc w:val="left"/>
        <w:rPr/>
      </w:pPr>
      <w:r>
        <w:rPr/>
        <w:t>“</w:t>
      </w:r>
      <w:r>
        <w:rPr>
          <w:rFonts w:ascii="Times New Roman" w:hAnsi="Times New Roman"/>
          <w:sz w:val="20"/>
          <w:u w:val="single"/>
        </w:rPr>
        <w:t>Approved Fund</w:t>
      </w:r>
      <w:r>
        <w:rPr>
          <w:rFonts w:ascii="Times New Roman" w:hAnsi="Times New Roman"/>
          <w:sz w:val="20"/>
        </w:rPr>
        <w:t xml:space="preserve">” means any Fund that is administered, advised or managed by (a) a Lender, (b) an Affiliate of a Lender, (c) an entity or an Affiliate of an entity that administers, advises or manages a Lender or (d) a Person that is a Lender on the First Amendment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Assignment and Assumption Agreement</w:t>
      </w:r>
      <w:r>
        <w:rPr>
          <w:rFonts w:ascii="Times New Roman" w:hAnsi="Times New Roman"/>
          <w:sz w:val="20"/>
        </w:rPr>
        <w:t xml:space="preserve">” means an assignment and assumption entered into by a Lender and an Eligible Assignee (with the consent of any party whose consent is required by </w:t>
      </w:r>
      <w:r>
        <w:rPr>
          <w:rFonts w:ascii="Times New Roman" w:hAnsi="Times New Roman"/>
          <w:sz w:val="20"/>
          <w:u w:val="single"/>
        </w:rPr>
        <w:t>Section 12.06</w:t>
      </w:r>
      <w:r>
        <w:rPr>
          <w:rFonts w:ascii="Times New Roman" w:hAnsi="Times New Roman"/>
          <w:sz w:val="20"/>
        </w:rPr>
        <w:t xml:space="preserve">), and accepted by the Administrative Agent, in substantially the form of </w:t>
      </w:r>
      <w:r>
        <w:rPr>
          <w:rFonts w:ascii="Times New Roman" w:hAnsi="Times New Roman"/>
          <w:sz w:val="20"/>
          <w:u w:val="single"/>
        </w:rPr>
        <w:t>Exhibit C</w:t>
      </w:r>
      <w:r>
        <w:rPr>
          <w:rFonts w:ascii="Times New Roman" w:hAnsi="Times New Roman"/>
          <w:sz w:val="20"/>
        </w:rPr>
        <w:t xml:space="preserve"> or any other form approved by the Administrative Agent. </w:t>
      </w:r>
    </w:p>
    <w:p>
      <w:pPr>
        <w:pStyle w:val="TextBody"/>
        <w:bidi w:val="0"/>
        <w:spacing w:before="240" w:after="0"/>
        <w:jc w:val="left"/>
        <w:rPr/>
      </w:pPr>
      <w:r>
        <w:rPr/>
        <w:t>“</w:t>
      </w:r>
      <w:r>
        <w:rPr>
          <w:rFonts w:ascii="Times New Roman" w:hAnsi="Times New Roman"/>
          <w:sz w:val="20"/>
          <w:u w:val="single"/>
        </w:rPr>
        <w:t>Attorney Costs</w:t>
      </w:r>
      <w:r>
        <w:rPr>
          <w:rFonts w:ascii="Times New Roman" w:hAnsi="Times New Roman"/>
          <w:sz w:val="20"/>
        </w:rPr>
        <w:t xml:space="preserve">” means and includes all fees, costs, expenses and disbursements of any law firm or other external counsel. </w:t>
      </w:r>
    </w:p>
    <w:p>
      <w:pPr>
        <w:pStyle w:val="TextBody"/>
        <w:bidi w:val="0"/>
        <w:spacing w:before="240" w:after="0"/>
        <w:jc w:val="left"/>
        <w:rPr/>
      </w:pPr>
      <w:r>
        <w:rPr/>
        <w:t>“</w:t>
      </w:r>
      <w:r>
        <w:rPr>
          <w:rFonts w:ascii="Times New Roman" w:hAnsi="Times New Roman"/>
          <w:sz w:val="20"/>
          <w:u w:val="single"/>
        </w:rPr>
        <w:t>Attributable Indebtedness</w:t>
      </w:r>
      <w:r>
        <w:rPr>
          <w:rFonts w:ascii="Times New Roman" w:hAnsi="Times New Roman"/>
          <w:sz w:val="20"/>
        </w:rPr>
        <w:t xml:space="preserve">” means, on any date, in respect of any Capitalized Lease of any Person, the capitalized amount thereof that would appear as a liability on a balance sheet of such Person prepared as of such date in accordance with GAAP. </w:t>
      </w:r>
    </w:p>
    <w:p>
      <w:pPr>
        <w:pStyle w:val="TextBody"/>
        <w:bidi w:val="0"/>
        <w:spacing w:before="240" w:after="0"/>
        <w:jc w:val="left"/>
        <w:rPr/>
      </w:pPr>
      <w:r>
        <w:rPr/>
        <w:t>“</w:t>
      </w:r>
      <w:r>
        <w:rPr>
          <w:rFonts w:ascii="Times New Roman" w:hAnsi="Times New Roman"/>
          <w:sz w:val="20"/>
          <w:u w:val="single"/>
        </w:rPr>
        <w:t>Australian Dollars</w:t>
      </w:r>
      <w:r>
        <w:rPr>
          <w:rFonts w:ascii="Times New Roman" w:hAnsi="Times New Roman"/>
          <w:sz w:val="20"/>
        </w:rPr>
        <w:t>” or “</w:t>
      </w:r>
      <w:r>
        <w:rPr>
          <w:rFonts w:ascii="Times New Roman" w:hAnsi="Times New Roman"/>
          <w:sz w:val="20"/>
          <w:u w:val="single"/>
        </w:rPr>
        <w:t>AUD</w:t>
      </w:r>
      <w:r>
        <w:rPr>
          <w:rFonts w:ascii="Times New Roman" w:hAnsi="Times New Roman"/>
          <w:sz w:val="20"/>
        </w:rPr>
        <w:t xml:space="preserve">” means the lawful currency of Australia. </w:t>
      </w:r>
    </w:p>
    <w:p>
      <w:pPr>
        <w:pStyle w:val="TextBody"/>
        <w:bidi w:val="0"/>
        <w:spacing w:before="240" w:after="0"/>
        <w:jc w:val="left"/>
        <w:rPr/>
      </w:pPr>
      <w:r>
        <w:rPr/>
        <w:t>“</w:t>
      </w:r>
      <w:r>
        <w:rPr>
          <w:rFonts w:ascii="Times New Roman" w:hAnsi="Times New Roman"/>
          <w:sz w:val="20"/>
          <w:u w:val="single"/>
        </w:rPr>
        <w:t>Authorized Officer</w:t>
      </w:r>
      <w:r>
        <w:rPr>
          <w:rFonts w:ascii="Times New Roman" w:hAnsi="Times New Roman"/>
          <w:sz w:val="20"/>
        </w:rPr>
        <w:t xml:space="preserve">” means, with respect to any Borrower-Related Party, the Chief Executive Officer, President, Chief Authorized Officer, Treasurer, Assistant Treasurer or Vice President Treasurer of such Borrower-Related Party, any manager or the members (as applicable) in the case of any Borrower-Related Party which is a limited liability company, or such other individuals, designated by written notice to the Administrative Agent from the Borrower, authorized to execute notices, reports and other documents on behalf of such Borrower-Related Party required hereunder. The Borrower may amend such list of individuals from time to time by giving written notice of such amendment to the Administrative Agent. </w:t>
      </w:r>
    </w:p>
    <w:p>
      <w:pPr>
        <w:pStyle w:val="TextBody"/>
        <w:bidi w:val="0"/>
        <w:spacing w:before="240" w:after="0"/>
        <w:jc w:val="left"/>
        <w:rPr/>
      </w:pPr>
      <w:r>
        <w:rPr/>
        <w:t>“</w:t>
      </w:r>
      <w:r>
        <w:rPr>
          <w:rFonts w:ascii="Times New Roman" w:hAnsi="Times New Roman"/>
          <w:sz w:val="20"/>
          <w:u w:val="single"/>
        </w:rPr>
        <w:t>Bail-In Action</w:t>
      </w:r>
      <w:r>
        <w:rPr>
          <w:rFonts w:ascii="Times New Roman" w:hAnsi="Times New Roman"/>
          <w:sz w:val="20"/>
        </w:rPr>
        <w:t xml:space="preserve">” means the exercise of any Write-down and Conversion Powers by the applicable Resolution Authority in respect of any liability of an Affected Financial Institution. </w:t>
      </w:r>
    </w:p>
    <w:p>
      <w:pPr>
        <w:pStyle w:val="TextBody"/>
        <w:bidi w:val="0"/>
        <w:spacing w:before="240" w:after="0"/>
        <w:jc w:val="left"/>
        <w:rPr/>
      </w:pPr>
      <w:r>
        <w:rPr/>
        <w:t>“</w:t>
      </w:r>
      <w:r>
        <w:rPr>
          <w:rFonts w:ascii="Times New Roman" w:hAnsi="Times New Roman"/>
          <w:sz w:val="20"/>
          <w:u w:val="single"/>
        </w:rPr>
        <w:t>Bail-In Legislation</w:t>
      </w:r>
      <w:r>
        <w:rPr>
          <w:rFonts w:ascii="Times New Roman" w:hAnsi="Times New Roman"/>
          <w:sz w:val="20"/>
        </w:rPr>
        <w:t xml:space="preserve">”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240" w:after="0"/>
        <w:jc w:val="left"/>
        <w:rPr/>
      </w:pPr>
      <w:r>
        <w:rPr/>
        <w:t>“</w:t>
      </w:r>
      <w:r>
        <w:rPr>
          <w:rFonts w:ascii="Times New Roman" w:hAnsi="Times New Roman"/>
          <w:sz w:val="20"/>
          <w:u w:val="single"/>
        </w:rPr>
        <w:t>Bankruptcy Code</w:t>
      </w:r>
      <w:r>
        <w:rPr>
          <w:rFonts w:ascii="Times New Roman" w:hAnsi="Times New Roman"/>
          <w:sz w:val="20"/>
        </w:rPr>
        <w:t xml:space="preserve">” means the United States Bankruptcy Reform Act of 1978 (11 U.S.C. § 101, et seq.). </w:t>
      </w:r>
    </w:p>
    <w:p>
      <w:pPr>
        <w:pStyle w:val="TextBody"/>
        <w:bidi w:val="0"/>
        <w:spacing w:before="240" w:after="0"/>
        <w:jc w:val="left"/>
        <w:rPr/>
      </w:pPr>
      <w:r>
        <w:rPr/>
        <w:t>“</w:t>
      </w:r>
      <w:r>
        <w:rPr>
          <w:rFonts w:ascii="Times New Roman" w:hAnsi="Times New Roman"/>
          <w:sz w:val="20"/>
          <w:u w:val="single"/>
        </w:rPr>
        <w:t>Base Rate</w:t>
      </w:r>
      <w:r>
        <w:rPr>
          <w:rFonts w:ascii="Times New Roman" w:hAnsi="Times New Roman"/>
          <w:sz w:val="20"/>
        </w:rPr>
        <w:t xml:space="preserve">” means, for any day, a fluctuating per annum rate of interest equal to the highest of (i) the Overnight Bank Funding Rate, </w:t>
      </w:r>
      <w:r>
        <w:rPr>
          <w:rFonts w:ascii="Times New Roman" w:hAnsi="Times New Roman"/>
          <w:sz w:val="20"/>
          <w:u w:val="single"/>
        </w:rPr>
        <w:t>plus</w:t>
      </w:r>
      <w:r>
        <w:rPr>
          <w:rFonts w:ascii="Times New Roman" w:hAnsi="Times New Roman"/>
          <w:sz w:val="20"/>
        </w:rPr>
        <w:t xml:space="preserve"> 0.50%, (ii) the Prime Rate, and (iii) Daily Simple SOFR, </w:t>
      </w:r>
      <w:r>
        <w:rPr>
          <w:rFonts w:ascii="Times New Roman" w:hAnsi="Times New Roman"/>
          <w:sz w:val="20"/>
          <w:u w:val="single"/>
        </w:rPr>
        <w:t>plus</w:t>
      </w:r>
      <w:r>
        <w:rPr>
          <w:rFonts w:ascii="Times New Roman" w:hAnsi="Times New Roman"/>
          <w:sz w:val="20"/>
        </w:rPr>
        <w:t xml:space="preserve"> 1.00%, so long as Daily Simple SOFR is ascertainable and not unlawful;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if the Base Rate as determined above would be less than zero, then such rate shall be deemed to be zero. Any change in the Base Rate (or any component thereof) shall take effect at the opening of business on the day such change occurs. </w:t>
      </w:r>
    </w:p>
    <w:p>
      <w:pPr>
        <w:pStyle w:val="TextBody"/>
        <w:bidi w:val="0"/>
        <w:spacing w:before="240" w:after="0"/>
        <w:jc w:val="left"/>
        <w:rPr/>
      </w:pPr>
      <w:r>
        <w:rPr/>
        <w:t>“</w:t>
      </w:r>
      <w:r>
        <w:rPr>
          <w:rFonts w:ascii="Times New Roman" w:hAnsi="Times New Roman"/>
          <w:sz w:val="20"/>
          <w:u w:val="single"/>
        </w:rPr>
        <w:t>Base Rate Loan</w:t>
      </w:r>
      <w:r>
        <w:rPr>
          <w:rFonts w:ascii="Times New Roman" w:hAnsi="Times New Roman"/>
          <w:sz w:val="20"/>
        </w:rPr>
        <w:t xml:space="preserve">” means, at any time, any Loan or any related Principal (or portion thereof) on which Interest accrues by reference to the Base Rate. </w:t>
      </w:r>
    </w:p>
    <w:p>
      <w:pPr>
        <w:pStyle w:val="TextBody"/>
        <w:bidi w:val="0"/>
        <w:spacing w:before="240" w:after="0"/>
        <w:jc w:val="left"/>
        <w:rPr/>
      </w:pPr>
      <w:r>
        <w:rPr/>
        <w:t>“</w:t>
      </w:r>
      <w:r>
        <w:rPr>
          <w:rFonts w:ascii="Times New Roman" w:hAnsi="Times New Roman"/>
          <w:sz w:val="20"/>
          <w:u w:val="single"/>
        </w:rPr>
        <w:t>Benchmark Replacement</w:t>
      </w:r>
      <w:r>
        <w:rPr>
          <w:rFonts w:ascii="Times New Roman" w:hAnsi="Times New Roman"/>
          <w:sz w:val="20"/>
        </w:rPr>
        <w:t xml:space="preserve">” has the meaning set forth in </w:t>
      </w:r>
      <w:r>
        <w:rPr>
          <w:rFonts w:ascii="Times New Roman" w:hAnsi="Times New Roman"/>
          <w:sz w:val="20"/>
          <w:u w:val="single"/>
        </w:rPr>
        <w:t>Section 2.04(d)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Beneficial Owner</w:t>
      </w:r>
      <w:r>
        <w:rPr>
          <w:rFonts w:ascii="Times New Roman" w:hAnsi="Times New Roman"/>
          <w:sz w:val="20"/>
        </w:rPr>
        <w:t xml:space="preserve">” means, for the Borrower, each of the following: (a) each individual, if any, who, directly or indirectly, owns 25% or more of the Borrower’s Equity Interests; and (b) a single individual with significant responsibility to control, manage, or direct the Borrower. </w:t>
      </w:r>
    </w:p>
    <w:p>
      <w:pPr>
        <w:pStyle w:val="TextBody"/>
        <w:bidi w:val="0"/>
        <w:spacing w:before="240" w:after="0"/>
        <w:jc w:val="left"/>
        <w:rPr/>
      </w:pPr>
      <w:r>
        <w:rPr/>
        <w:t>“</w:t>
      </w:r>
      <w:r>
        <w:rPr>
          <w:rFonts w:ascii="Times New Roman" w:hAnsi="Times New Roman"/>
          <w:sz w:val="20"/>
          <w:u w:val="single"/>
        </w:rPr>
        <w:t>Beneficial Ownership Rule</w:t>
      </w:r>
      <w:r>
        <w:rPr>
          <w:rFonts w:ascii="Times New Roman" w:hAnsi="Times New Roman"/>
          <w:sz w:val="20"/>
        </w:rPr>
        <w:t xml:space="preserve">” means 31 C.F.R. § 1010.230. </w:t>
      </w:r>
    </w:p>
    <w:p>
      <w:pPr>
        <w:pStyle w:val="TextBody"/>
        <w:bidi w:val="0"/>
        <w:spacing w:before="240" w:after="0"/>
        <w:jc w:val="left"/>
        <w:rPr/>
      </w:pPr>
      <w:r>
        <w:rPr/>
        <w:t>“</w:t>
      </w:r>
      <w:r>
        <w:rPr>
          <w:rFonts w:ascii="Times New Roman" w:hAnsi="Times New Roman"/>
          <w:sz w:val="20"/>
          <w:u w:val="single"/>
        </w:rPr>
        <w:t>Billing in Arrears Unbilled Receivables</w:t>
      </w:r>
      <w:r>
        <w:rPr>
          <w:rFonts w:ascii="Times New Roman" w:hAnsi="Times New Roman"/>
          <w:sz w:val="20"/>
        </w:rPr>
        <w:t xml:space="preserve">” means, at any time, any Receivable as to which the invoice or bill is initially estimated and accrued for and subsequently invoiced according to the payments terms in the Contract relating thereto. </w:t>
      </w:r>
    </w:p>
    <w:p>
      <w:pPr>
        <w:pStyle w:val="TextBody"/>
        <w:bidi w:val="0"/>
        <w:spacing w:before="240" w:after="0"/>
        <w:jc w:val="left"/>
        <w:rPr/>
      </w:pPr>
      <w:r>
        <w:rPr/>
        <w:t>“</w:t>
      </w:r>
      <w:r>
        <w:rPr>
          <w:rFonts w:ascii="Times New Roman" w:hAnsi="Times New Roman"/>
          <w:sz w:val="20"/>
          <w:u w:val="single"/>
        </w:rPr>
        <w:t>Blocked Property</w:t>
      </w:r>
      <w:r>
        <w:rPr>
          <w:rFonts w:ascii="Times New Roman" w:hAnsi="Times New Roman"/>
          <w:sz w:val="20"/>
        </w:rPr>
        <w:t xml:space="preserve">” means any property: (a) owned, directly or indirectly, by a Sanctioned Person; (b) due to or from a Sanctioned Person; (c) in which a Sanctioned Person otherwise holds any interest; (d) located in a Sanctioned Jurisdiction; or (e) that otherwise could cause any actual or possible violation by the Lenders, Administrative Agent, or any other Credit Party of any applicable International Trade Law if the Lenders were to obtain an encumbrance on, lien on, pledge of, or security interest in such property, or provide services in consideration of such property. </w:t>
      </w:r>
    </w:p>
    <w:p>
      <w:pPr>
        <w:pStyle w:val="TextBody"/>
        <w:bidi w:val="0"/>
        <w:spacing w:before="240" w:after="0"/>
        <w:jc w:val="left"/>
        <w:rPr/>
      </w:pPr>
      <w:r>
        <w:rPr/>
        <w:t>“</w:t>
      </w:r>
      <w:r>
        <w:rPr>
          <w:rFonts w:ascii="Times New Roman" w:hAnsi="Times New Roman"/>
          <w:sz w:val="20"/>
          <w:u w:val="single"/>
        </w:rPr>
        <w:t>Bond Agreements</w:t>
      </w:r>
      <w:r>
        <w:rPr>
          <w:rFonts w:ascii="Times New Roman" w:hAnsi="Times New Roman"/>
          <w:sz w:val="20"/>
        </w:rPr>
        <w:t xml:space="preserve">” means each of (i) the indenture dated as of December 6, 2022, among Sabre GLBL Inc., as issuer, the guarantors (as defined therein) and Computershare Trust Company, N.A., as trustee and collateral agent and (ii) the indenture dated as of April 17, 2020, among Sabre GLBL Inc., as issuer, the guarantors (as defined therein) and Computershare Trust Company, N.A. (as successor in interest to Wells Fargo Bank, National Association), as trustee and collateral agent and, in each case, the intercreditor agreements and security agreements referred to therein. </w:t>
      </w:r>
    </w:p>
    <w:p>
      <w:pPr>
        <w:pStyle w:val="TextBody"/>
        <w:bidi w:val="0"/>
        <w:spacing w:before="240" w:after="0"/>
        <w:jc w:val="left"/>
        <w:rPr/>
      </w:pPr>
      <w:r>
        <w:rPr/>
        <w:t>“</w:t>
      </w:r>
      <w:r>
        <w:rPr>
          <w:rFonts w:ascii="Times New Roman" w:hAnsi="Times New Roman"/>
          <w:sz w:val="20"/>
          <w:u w:val="single"/>
        </w:rPr>
        <w:t>Borrower</w:t>
      </w:r>
      <w:r>
        <w:rPr>
          <w:rFonts w:ascii="Times New Roman" w:hAnsi="Times New Roman"/>
          <w:sz w:val="20"/>
        </w:rPr>
        <w:t xml:space="preserve">” has the meaning specified in the </w:t>
      </w:r>
      <w:r>
        <w:rPr>
          <w:rFonts w:ascii="Times New Roman" w:hAnsi="Times New Roman"/>
          <w:sz w:val="20"/>
          <w:u w:val="single"/>
        </w:rPr>
        <w:t>preamble</w:t>
      </w:r>
      <w:r>
        <w:rPr>
          <w:rFonts w:ascii="Times New Roman" w:hAnsi="Times New Roman"/>
          <w:sz w:val="20"/>
        </w:rPr>
        <w:t xml:space="preserve"> to this Agreement. </w:t>
      </w:r>
    </w:p>
    <w:p>
      <w:pPr>
        <w:pStyle w:val="TextBody"/>
        <w:bidi w:val="0"/>
        <w:spacing w:before="240" w:after="0"/>
        <w:jc w:val="left"/>
        <w:rPr/>
      </w:pPr>
      <w:r>
        <w:rPr/>
        <w:t>“</w:t>
      </w:r>
      <w:r>
        <w:rPr>
          <w:rFonts w:ascii="Times New Roman" w:hAnsi="Times New Roman"/>
          <w:sz w:val="20"/>
          <w:u w:val="single"/>
        </w:rPr>
        <w:t>Borrower Indemnified Amounts</w:t>
      </w:r>
      <w:r>
        <w:rPr>
          <w:rFonts w:ascii="Times New Roman" w:hAnsi="Times New Roman"/>
          <w:sz w:val="20"/>
        </w:rPr>
        <w:t xml:space="preserve">” has the meaning set forth in </w:t>
      </w:r>
      <w:r>
        <w:rPr>
          <w:rFonts w:ascii="Times New Roman" w:hAnsi="Times New Roman"/>
          <w:sz w:val="20"/>
          <w:u w:val="single"/>
        </w:rPr>
        <w:t>Section 11.02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Borrower Indemnified Party</w:t>
      </w:r>
      <w:r>
        <w:rPr>
          <w:rFonts w:ascii="Times New Roman" w:hAnsi="Times New Roman"/>
          <w:sz w:val="20"/>
        </w:rPr>
        <w:t xml:space="preserve">” has the meaning set forth in </w:t>
      </w:r>
      <w:r>
        <w:rPr>
          <w:rFonts w:ascii="Times New Roman" w:hAnsi="Times New Roman"/>
          <w:sz w:val="20"/>
          <w:u w:val="single"/>
        </w:rPr>
        <w:t>Section 11.02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Borrower Obligations</w:t>
      </w:r>
      <w:r>
        <w:rPr>
          <w:rFonts w:ascii="Times New Roman" w:hAnsi="Times New Roman"/>
          <w:sz w:val="20"/>
        </w:rPr>
        <w:t xml:space="preserve">” means all present and future indebtedness, reimbursement obligations, and other liabilities and obligations (howsoever created, arising or evidenced, whether direct or indirect, absolute or contingent, or due or to become due) of the Borrower to any Secured Party, arising under or in connection with this Agreement or any other Transaction Document or the transactions contemplated hereby or thereby, and shall include all Principal and Interest on the Loans, all Fees, Early Termination Payment, Class B Prepayment Premium and all other amounts due or to become due under the Transaction Documents (whether in respect of fees, costs, expenses, indemnifications or otherwise), including interest, fees and other obligations that accrue after the commencement of any Relief Proceeding with respect to the Borrower (in each case whether or not allowed as a claim in such proceeding). </w:t>
      </w:r>
    </w:p>
    <w:p>
      <w:pPr>
        <w:pStyle w:val="TextBody"/>
        <w:bidi w:val="0"/>
        <w:spacing w:before="240" w:after="0"/>
        <w:jc w:val="left"/>
        <w:rPr/>
      </w:pPr>
      <w:r>
        <w:rPr/>
        <w:t>“</w:t>
      </w:r>
      <w:r>
        <w:rPr>
          <w:rFonts w:ascii="Times New Roman" w:hAnsi="Times New Roman"/>
          <w:sz w:val="20"/>
          <w:u w:val="single"/>
        </w:rPr>
        <w:t>Borrower-Related Party</w:t>
      </w:r>
      <w:r>
        <w:rPr>
          <w:rFonts w:ascii="Times New Roman" w:hAnsi="Times New Roman"/>
          <w:sz w:val="20"/>
        </w:rPr>
        <w:t xml:space="preserve">” means each of the Borrower, the Servicers, the Performance Guarantor, the Parent, the Originators and any other Affiliate of the Parent from time to time party to any Transaction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Borrower’s Net Worth</w:t>
      </w:r>
      <w:r>
        <w:rPr>
          <w:rFonts w:ascii="Times New Roman" w:hAnsi="Times New Roman"/>
          <w:sz w:val="20"/>
        </w:rPr>
        <w:t xml:space="preserve">” means, at any time, an amount equal to (i) the aggregate Outstanding Balance of all Pool Receivables at such time, minus (ii) the sum of (A) the Aggregate Principal at such time, </w:t>
      </w:r>
      <w:r>
        <w:rPr>
          <w:rFonts w:ascii="Times New Roman" w:hAnsi="Times New Roman"/>
          <w:sz w:val="20"/>
          <w:u w:val="single"/>
        </w:rPr>
        <w:t>plus</w:t>
      </w:r>
      <w:r>
        <w:rPr>
          <w:rFonts w:ascii="Times New Roman" w:hAnsi="Times New Roman"/>
          <w:sz w:val="20"/>
        </w:rPr>
        <w:t xml:space="preserve"> (B) the Aggregate Interest at such time, </w:t>
      </w:r>
      <w:r>
        <w:rPr>
          <w:rFonts w:ascii="Times New Roman" w:hAnsi="Times New Roman"/>
          <w:sz w:val="20"/>
          <w:u w:val="single"/>
        </w:rPr>
        <w:t>plus</w:t>
      </w:r>
      <w:r>
        <w:rPr>
          <w:rFonts w:ascii="Times New Roman" w:hAnsi="Times New Roman"/>
          <w:sz w:val="20"/>
        </w:rPr>
        <w:t xml:space="preserve"> (C) the aggregate accrued and unpaid Fees at such time, </w:t>
      </w:r>
      <w:r>
        <w:rPr>
          <w:rFonts w:ascii="Times New Roman" w:hAnsi="Times New Roman"/>
          <w:sz w:val="20"/>
          <w:u w:val="single"/>
        </w:rPr>
        <w:t>plus</w:t>
      </w:r>
      <w:r>
        <w:rPr>
          <w:rFonts w:ascii="Times New Roman" w:hAnsi="Times New Roman"/>
          <w:sz w:val="20"/>
        </w:rPr>
        <w:t xml:space="preserve"> (D) the aggregate outstanding principal balance of all Subordinated Loans at such time, </w:t>
      </w:r>
      <w:r>
        <w:rPr>
          <w:rFonts w:ascii="Times New Roman" w:hAnsi="Times New Roman"/>
          <w:sz w:val="20"/>
          <w:u w:val="single"/>
        </w:rPr>
        <w:t>plus</w:t>
      </w:r>
      <w:r>
        <w:rPr>
          <w:rFonts w:ascii="Times New Roman" w:hAnsi="Times New Roman"/>
          <w:sz w:val="20"/>
        </w:rPr>
        <w:t xml:space="preserve"> (E) the aggregate accrued and unpaid interest on all Subordinated Loans at such time, </w:t>
      </w:r>
      <w:r>
        <w:rPr>
          <w:rFonts w:ascii="Times New Roman" w:hAnsi="Times New Roman"/>
          <w:sz w:val="20"/>
          <w:u w:val="single"/>
        </w:rPr>
        <w:t>plus</w:t>
      </w:r>
      <w:r>
        <w:rPr>
          <w:rFonts w:ascii="Times New Roman" w:hAnsi="Times New Roman"/>
          <w:sz w:val="20"/>
        </w:rPr>
        <w:t xml:space="preserve"> (F) without duplication, the aggregate accrued and unpaid other Borrower Obligations at such time. </w:t>
      </w:r>
    </w:p>
    <w:p>
      <w:pPr>
        <w:pStyle w:val="TextBody"/>
        <w:bidi w:val="0"/>
        <w:spacing w:before="240" w:after="0"/>
        <w:jc w:val="left"/>
        <w:rPr/>
      </w:pPr>
      <w:r>
        <w:rPr/>
        <w:t>“</w:t>
      </w:r>
      <w:r>
        <w:rPr>
          <w:rFonts w:ascii="Times New Roman" w:hAnsi="Times New Roman"/>
          <w:sz w:val="20"/>
          <w:u w:val="single"/>
        </w:rPr>
        <w:t>Borrowing Base</w:t>
      </w:r>
      <w:r>
        <w:rPr>
          <w:rFonts w:ascii="Times New Roman" w:hAnsi="Times New Roman"/>
          <w:sz w:val="20"/>
        </w:rPr>
        <w:t xml:space="preserve">” means, at any time of determination, an amount equal to the least of: (a) the product of (x) 75.00%, </w:t>
      </w:r>
      <w:r>
        <w:rPr>
          <w:rFonts w:ascii="Times New Roman" w:hAnsi="Times New Roman"/>
          <w:sz w:val="20"/>
          <w:u w:val="single"/>
        </w:rPr>
        <w:t>times</w:t>
      </w:r>
      <w:r>
        <w:rPr>
          <w:rFonts w:ascii="Times New Roman" w:hAnsi="Times New Roman"/>
          <w:sz w:val="20"/>
        </w:rPr>
        <w:t xml:space="preserve"> (y) the aggregate Outstanding Balance of all Eligible Receivables then in the Receivables Pool, (b) the sum of (i) the product of (x) 90.00%, </w:t>
      </w:r>
      <w:r>
        <w:rPr>
          <w:rFonts w:ascii="Times New Roman" w:hAnsi="Times New Roman"/>
          <w:sz w:val="20"/>
          <w:u w:val="single"/>
        </w:rPr>
        <w:t>times</w:t>
      </w:r>
      <w:r>
        <w:rPr>
          <w:rFonts w:ascii="Times New Roman" w:hAnsi="Times New Roman"/>
          <w:sz w:val="20"/>
        </w:rPr>
        <w:t xml:space="preserve"> (y) Net Receivables Pool Balance, </w:t>
      </w:r>
      <w:r>
        <w:rPr>
          <w:rFonts w:ascii="Times New Roman" w:hAnsi="Times New Roman"/>
          <w:sz w:val="20"/>
          <w:u w:val="single"/>
        </w:rPr>
        <w:t>plus</w:t>
      </w:r>
      <w:r>
        <w:rPr>
          <w:rFonts w:ascii="Times New Roman" w:hAnsi="Times New Roman"/>
          <w:sz w:val="20"/>
        </w:rPr>
        <w:t xml:space="preserve"> (ii) the product of (x) 90.00%, </w:t>
      </w:r>
      <w:r>
        <w:rPr>
          <w:rFonts w:ascii="Times New Roman" w:hAnsi="Times New Roman"/>
          <w:sz w:val="20"/>
          <w:u w:val="single"/>
        </w:rPr>
        <w:t>times</w:t>
      </w:r>
      <w:r>
        <w:rPr>
          <w:rFonts w:ascii="Times New Roman" w:hAnsi="Times New Roman"/>
          <w:sz w:val="20"/>
        </w:rPr>
        <w:t xml:space="preserve"> (y) the Excess Concentration arising from </w:t>
      </w:r>
      <w:r>
        <w:rPr>
          <w:rFonts w:ascii="Times New Roman" w:hAnsi="Times New Roman"/>
          <w:sz w:val="20"/>
          <w:u w:val="single"/>
        </w:rPr>
        <w:t>clause (i)</w:t>
      </w:r>
      <w:r>
        <w:rPr>
          <w:rFonts w:ascii="Times New Roman" w:hAnsi="Times New Roman"/>
          <w:sz w:val="20"/>
        </w:rPr>
        <w:t xml:space="preserve"> thereof solely with respect to Eligible Receivables of U.S. Obligors or Tier I Eligible Foreign Obligors, </w:t>
      </w:r>
      <w:r>
        <w:rPr>
          <w:rFonts w:ascii="Times New Roman" w:hAnsi="Times New Roman"/>
          <w:sz w:val="20"/>
          <w:u w:val="single"/>
        </w:rPr>
        <w:t>plus</w:t>
      </w:r>
      <w:r>
        <w:rPr>
          <w:rFonts w:ascii="Times New Roman" w:hAnsi="Times New Roman"/>
          <w:sz w:val="20"/>
        </w:rPr>
        <w:t xml:space="preserve"> (iii) the lesser of (x) the product of 50.00% </w:t>
      </w:r>
      <w:r>
        <w:rPr>
          <w:rFonts w:ascii="Times New Roman" w:hAnsi="Times New Roman"/>
          <w:sz w:val="20"/>
          <w:u w:val="single"/>
        </w:rPr>
        <w:t>times</w:t>
      </w:r>
      <w:r>
        <w:rPr>
          <w:rFonts w:ascii="Times New Roman" w:hAnsi="Times New Roman"/>
          <w:sz w:val="20"/>
        </w:rPr>
        <w:t xml:space="preserve"> the aggregate Outstanding Balance of all Unbilled Receivables and (y) the aggregate Outstanding Balance of all Billing in Arrears Unbilled Receivables and (c) the Facility Limit. </w:t>
      </w:r>
    </w:p>
    <w:p>
      <w:pPr>
        <w:pStyle w:val="TextBody"/>
        <w:bidi w:val="0"/>
        <w:spacing w:before="240" w:after="0"/>
        <w:jc w:val="left"/>
        <w:rPr/>
      </w:pPr>
      <w:r>
        <w:rPr/>
        <w:t>“</w:t>
      </w:r>
      <w:r>
        <w:rPr>
          <w:rFonts w:ascii="Times New Roman" w:hAnsi="Times New Roman"/>
          <w:sz w:val="20"/>
          <w:u w:val="single"/>
        </w:rPr>
        <w:t>Borrowing Base Deficit</w:t>
      </w:r>
      <w:r>
        <w:rPr>
          <w:rFonts w:ascii="Times New Roman" w:hAnsi="Times New Roman"/>
          <w:sz w:val="20"/>
        </w:rPr>
        <w:t xml:space="preserve">” means, at any time, the amount, if any, by which (a) the Aggregate Principal at such time, </w:t>
      </w:r>
      <w:r>
        <w:rPr>
          <w:rFonts w:ascii="Times New Roman" w:hAnsi="Times New Roman"/>
          <w:sz w:val="20"/>
          <w:u w:val="single"/>
        </w:rPr>
        <w:t>exceeds</w:t>
      </w:r>
      <w:r>
        <w:rPr>
          <w:rFonts w:ascii="Times New Roman" w:hAnsi="Times New Roman"/>
          <w:sz w:val="20"/>
        </w:rPr>
        <w:t xml:space="preserve"> (b) the Borrowing Base at such time. </w:t>
      </w:r>
    </w:p>
    <w:p>
      <w:pPr>
        <w:pStyle w:val="TextBody"/>
        <w:bidi w:val="0"/>
        <w:spacing w:before="240" w:after="0"/>
        <w:jc w:val="left"/>
        <w:rPr/>
      </w:pPr>
      <w:r>
        <w:rPr/>
        <w:t>“</w:t>
      </w:r>
      <w:r>
        <w:rPr>
          <w:rFonts w:ascii="Times New Roman" w:hAnsi="Times New Roman"/>
          <w:sz w:val="20"/>
          <w:u w:val="single"/>
        </w:rPr>
        <w:t>Borrowing Tranche</w:t>
      </w:r>
      <w:r>
        <w:rPr>
          <w:rFonts w:ascii="Times New Roman" w:hAnsi="Times New Roman"/>
          <w:sz w:val="20"/>
        </w:rPr>
        <w:t xml:space="preserve">” means specified portions of Loans outstanding as follows: (a) any Loans (or portions of Principal thereof) for which the applicable Interest Rate is determined by reference to the Term SOFR Rate and which have the same Interest Period shall constitute one Borrowing Tranche, (b) all Loans (or portions of Principal thereof) for which the applicable Interest Rate is determined by reference to Daily 1M SOFR shall constitute one Borrowing Tranche, and (c) all Loans (or portions of Principal thereof) for which the applicable Interest Rate is determined by reference to </w:t>
      </w:r>
      <w:r>
        <w:rPr>
          <w:rFonts w:ascii="Times New Roman" w:hAnsi="Times New Roman"/>
          <w:color w:val="0000FF"/>
          <w:sz w:val="20"/>
          <w:u w:val="single"/>
          <w:bdr w:val="double" w:sz="2" w:space="1" w:color="000000"/>
        </w:rPr>
        <w:t xml:space="preserve">the </w:t>
      </w:r>
      <w:r>
        <w:rPr>
          <w:rFonts w:ascii="Times New Roman" w:hAnsi="Times New Roman"/>
          <w:sz w:val="20"/>
        </w:rPr>
        <w:t xml:space="preserve">Base Rate shall constitute one Borrowing Tranche.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other than a Saturday or Sunday or a legal holiday on which commercial banks are authorized or required to be closed, or are in fact closed, for business in Pittsburgh, Pennsylvania (or, if otherwise, the Lending Office of the Administrative Agent); </w:t>
      </w:r>
      <w:r>
        <w:rPr>
          <w:rFonts w:ascii="Times New Roman" w:hAnsi="Times New Roman"/>
          <w:sz w:val="20"/>
          <w:u w:val="single"/>
        </w:rPr>
        <w:t>provided</w:t>
      </w:r>
      <w:r>
        <w:rPr>
          <w:rFonts w:ascii="Times New Roman" w:hAnsi="Times New Roman"/>
          <w:sz w:val="20"/>
        </w:rPr>
        <w:t xml:space="preserve"> that, when used in connection with an amount that bears interest at a rate based on SOFR or any direct or indirect calculation or determination of SOFR, the term “Business Day” means any such day that is also a U.S. Government Securities Business Day. </w:t>
      </w:r>
    </w:p>
    <w:p>
      <w:pPr>
        <w:pStyle w:val="TextBody"/>
        <w:bidi w:val="0"/>
        <w:spacing w:before="240" w:after="0"/>
        <w:jc w:val="left"/>
        <w:rPr/>
      </w:pPr>
      <w:r>
        <w:rPr/>
        <w:t>“</w:t>
      </w:r>
      <w:r>
        <w:rPr>
          <w:rFonts w:ascii="Times New Roman" w:hAnsi="Times New Roman"/>
          <w:sz w:val="20"/>
          <w:u w:val="single"/>
        </w:rPr>
        <w:t>Canadian Dollars</w:t>
      </w:r>
      <w:r>
        <w:rPr>
          <w:rFonts w:ascii="Times New Roman" w:hAnsi="Times New Roman"/>
          <w:sz w:val="20"/>
        </w:rPr>
        <w:t>” or “</w:t>
      </w:r>
      <w:r>
        <w:rPr>
          <w:rFonts w:ascii="Times New Roman" w:hAnsi="Times New Roman"/>
          <w:sz w:val="20"/>
          <w:u w:val="single"/>
        </w:rPr>
        <w:t>CAD</w:t>
      </w:r>
      <w:r>
        <w:rPr>
          <w:rFonts w:ascii="Times New Roman" w:hAnsi="Times New Roman"/>
          <w:sz w:val="20"/>
        </w:rPr>
        <w:t xml:space="preserve">” means the lawful currency of Canada. </w:t>
      </w:r>
    </w:p>
    <w:p>
      <w:pPr>
        <w:pStyle w:val="TextBody"/>
        <w:bidi w:val="0"/>
        <w:spacing w:before="240" w:after="0"/>
        <w:jc w:val="left"/>
        <w:rPr/>
      </w:pPr>
      <w:r>
        <w:rPr/>
        <w:t>“</w:t>
      </w:r>
      <w:r>
        <w:rPr>
          <w:rFonts w:ascii="Times New Roman" w:hAnsi="Times New Roman"/>
          <w:sz w:val="20"/>
          <w:u w:val="single"/>
        </w:rPr>
        <w:t>Capitalized Lease Obligation</w:t>
      </w:r>
      <w:r>
        <w:rPr>
          <w:rFonts w:ascii="Times New Roman" w:hAnsi="Times New Roman"/>
          <w:sz w:val="20"/>
        </w:rPr>
        <w:t xml:space="preserve">” means, at the time any determination thereof is to be made, the amount of the liability in respect of a Capitalized Lease that would at such time be required to be capitalized and reflected as a liability on a balance sheet (excluding the footnotes thereto) prepared in accordance with GAAP; </w:t>
      </w:r>
      <w:r>
        <w:rPr>
          <w:rFonts w:ascii="Times New Roman" w:hAnsi="Times New Roman"/>
          <w:i/>
          <w:sz w:val="20"/>
        </w:rPr>
        <w:t>provided</w:t>
      </w:r>
      <w:r>
        <w:rPr>
          <w:rFonts w:ascii="Times New Roman" w:hAnsi="Times New Roman"/>
          <w:sz w:val="20"/>
        </w:rPr>
        <w:t xml:space="preserve"> that all obligations of any Person that are or would have been treated as operating leases for purposes of GAAP prior to the issuance by the Financial Accounting Standards Board on February 25, 2016 of an Accounting Standards Update (the “</w:t>
      </w:r>
      <w:r>
        <w:rPr>
          <w:rFonts w:ascii="Times New Roman" w:hAnsi="Times New Roman"/>
          <w:b/>
          <w:sz w:val="20"/>
        </w:rPr>
        <w:t>ASU</w:t>
      </w:r>
      <w:r>
        <w:rPr>
          <w:rFonts w:ascii="Times New Roman" w:hAnsi="Times New Roman"/>
          <w:sz w:val="20"/>
        </w:rPr>
        <w:t xml:space="preserve">”) shall continue to be accounted for as operating leases for purposes of all financial definitions and calculations for purpose of this Agreement (whether or not such operating lease obligations were in effect on such date) notwithstanding the fact that such obligations are required in accordance with the ASU (on a prospective or retroactive basis or otherwise) to be treated as Capitalized Lease Obligations in the financial statements to be delivered pursuant to Section 6.01.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Capitalized Lease</w:t>
      </w:r>
      <w:r>
        <w:rPr>
          <w:rFonts w:ascii="Times New Roman" w:hAnsi="Times New Roman"/>
          <w:sz w:val="20"/>
        </w:rPr>
        <w:t xml:space="preserve">” means all leases that have been or are required to be, in accordance with GAAP, recorded as capitalized leases; </w:t>
      </w:r>
      <w:r>
        <w:rPr>
          <w:rFonts w:ascii="Times New Roman" w:hAnsi="Times New Roman"/>
          <w:i/>
          <w:sz w:val="20"/>
        </w:rPr>
        <w:t>provided</w:t>
      </w:r>
      <w:r>
        <w:rPr>
          <w:rFonts w:ascii="Times New Roman" w:hAnsi="Times New Roman"/>
          <w:sz w:val="20"/>
        </w:rPr>
        <w:t xml:space="preserve"> that for all purposes hereunder the amount of obligations under any Capitalized Lease shall be the amount thereof accounted for as a liability in accordance with GAAP. </w:t>
      </w:r>
    </w:p>
    <w:p>
      <w:pPr>
        <w:pStyle w:val="TextBody"/>
        <w:bidi w:val="0"/>
        <w:spacing w:before="240" w:after="0"/>
        <w:jc w:val="left"/>
        <w:rPr/>
      </w:pPr>
      <w:r>
        <w:rPr/>
        <w:t>“</w:t>
      </w:r>
      <w:r>
        <w:rPr>
          <w:rFonts w:ascii="Times New Roman" w:hAnsi="Times New Roman"/>
          <w:sz w:val="20"/>
          <w:u w:val="single"/>
        </w:rPr>
        <w:t>Cash Equivalents</w:t>
      </w:r>
      <w:r>
        <w:rPr>
          <w:rFonts w:ascii="Times New Roman" w:hAnsi="Times New Roman"/>
          <w:sz w:val="20"/>
        </w:rPr>
        <w:t xml:space="preserve">” has the meaning assigned thereto in the Credit Agreement as in effect on the Closing Date and without giving effect to any subsequent amendments thereto. Any capitalized terms used within such defined term and its components shall have the meanings assigned thereto in the Credit Agreement as in effect on the Closing Date and without giving effect to any subsequent amendments thereto. </w:t>
      </w:r>
    </w:p>
    <w:p>
      <w:pPr>
        <w:pStyle w:val="TextBody"/>
        <w:bidi w:val="0"/>
        <w:spacing w:before="240" w:after="0"/>
        <w:jc w:val="left"/>
        <w:rPr/>
      </w:pPr>
      <w:r>
        <w:rPr/>
        <w:t>“</w:t>
      </w:r>
      <w:r>
        <w:rPr>
          <w:rFonts w:ascii="Times New Roman" w:hAnsi="Times New Roman"/>
          <w:sz w:val="20"/>
          <w:u w:val="single"/>
        </w:rPr>
        <w:t>Certificate of Beneficial Ownership</w:t>
      </w:r>
      <w:r>
        <w:rPr>
          <w:rFonts w:ascii="Times New Roman" w:hAnsi="Times New Roman"/>
          <w:sz w:val="20"/>
        </w:rPr>
        <w:t xml:space="preserve">” means, for the Borrower, a certificate in form and substance acceptable to the Administrative Agent and the applicable Lender Representative (as such form may be amended or modified by the Administrative Agent or such Lender Representative from time to time in its sole discretion), certifying, among other things, the Beneficial Owner of the Borrower. </w:t>
      </w:r>
    </w:p>
    <w:p>
      <w:pPr>
        <w:pStyle w:val="TextBody"/>
        <w:bidi w:val="0"/>
        <w:spacing w:before="240" w:after="0"/>
        <w:jc w:val="left"/>
        <w:rPr/>
      </w:pPr>
      <w:r>
        <w:rPr/>
        <w:t>“</w:t>
      </w:r>
      <w:r>
        <w:rPr>
          <w:rFonts w:ascii="Times New Roman" w:hAnsi="Times New Roman"/>
          <w:sz w:val="20"/>
          <w:u w:val="single"/>
        </w:rPr>
        <w:t>Change in Control</w:t>
      </w:r>
      <w:r>
        <w:rPr>
          <w:rFonts w:ascii="Times New Roman" w:hAnsi="Times New Roman"/>
          <w:sz w:val="20"/>
        </w:rPr>
        <w:t xml:space="preserve">” means the occurrence of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Sabre ceases to own, directly, 100% of the Equity Interests of the Borrower free and clear of all Adverse Claims; </w:t>
      </w:r>
    </w:p>
    <w:p>
      <w:pPr>
        <w:pStyle w:val="TextBody"/>
        <w:bidi w:val="0"/>
        <w:spacing w:before="120" w:after="0"/>
        <w:jc w:val="left"/>
        <w:rPr>
          <w:rFonts w:ascii="Times New Roman" w:hAnsi="Times New Roman"/>
          <w:sz w:val="20"/>
        </w:rPr>
      </w:pPr>
      <w:r>
        <w:rPr>
          <w:rFonts w:ascii="Times New Roman" w:hAnsi="Times New Roman"/>
          <w:sz w:val="20"/>
        </w:rPr>
        <w:t xml:space="preserve">(b) the Parent ceases to own, directly or indirectly, 100% of the Equity Interests of any Servicer or any Originator; or </w:t>
      </w:r>
    </w:p>
    <w:p>
      <w:pPr>
        <w:pStyle w:val="TextBody"/>
        <w:bidi w:val="0"/>
        <w:spacing w:before="120" w:after="0"/>
        <w:jc w:val="left"/>
        <w:rPr>
          <w:rFonts w:ascii="Times New Roman" w:hAnsi="Times New Roman"/>
          <w:sz w:val="20"/>
        </w:rPr>
      </w:pPr>
      <w:r>
        <w:rPr>
          <w:rFonts w:ascii="Times New Roman" w:hAnsi="Times New Roman"/>
          <w:sz w:val="20"/>
        </w:rPr>
        <w:t xml:space="preserve">(c) the earliest to occur of: </w:t>
      </w:r>
    </w:p>
    <w:p>
      <w:pPr>
        <w:pStyle w:val="TextBody"/>
        <w:bidi w:val="0"/>
        <w:spacing w:before="120" w:after="0"/>
        <w:jc w:val="left"/>
        <w:rPr>
          <w:rFonts w:ascii="Times New Roman" w:hAnsi="Times New Roman"/>
          <w:sz w:val="20"/>
        </w:rPr>
      </w:pPr>
      <w:r>
        <w:rPr>
          <w:rFonts w:ascii="Times New Roman" w:hAnsi="Times New Roman"/>
          <w:sz w:val="20"/>
        </w:rPr>
        <w:t xml:space="preserve">(i) any “person” or “group” (as such terms are used in Sections 13(d) and 14(d) of the Exchange Act, but excluding any employee benefit plan of such person and its Subsidiaries, and any person or entity acting in its capacity as trustee, agent or other fiduciary or administrator of any such plan), becomes the “beneficial owner” (as defined in Rules 13(d)-3 and 13(d)-5 under such Act), directly or indirectly, of more than forty percent (40%) of the then outstanding voting stock of Parent; or </w:t>
      </w:r>
    </w:p>
    <w:p>
      <w:pPr>
        <w:pStyle w:val="TextBody"/>
        <w:bidi w:val="0"/>
        <w:spacing w:before="120" w:after="0"/>
        <w:jc w:val="left"/>
        <w:rPr>
          <w:rFonts w:ascii="Times New Roman" w:hAnsi="Times New Roman"/>
          <w:sz w:val="20"/>
        </w:rPr>
      </w:pPr>
      <w:r>
        <w:rPr>
          <w:rFonts w:ascii="Times New Roman" w:hAnsi="Times New Roman"/>
          <w:sz w:val="20"/>
        </w:rPr>
        <w:t xml:space="preserve">(ii) the board of directors of Parent shall cease to consist of a majority of the Continuing Directors. </w:t>
      </w:r>
    </w:p>
    <w:p>
      <w:pPr>
        <w:pStyle w:val="TextBody"/>
        <w:bidi w:val="0"/>
        <w:spacing w:before="120" w:after="0"/>
        <w:jc w:val="left"/>
        <w:rPr>
          <w:rFonts w:ascii="Times New Roman" w:hAnsi="Times New Roman"/>
          <w:sz w:val="20"/>
        </w:rPr>
      </w:pPr>
      <w:r>
        <w:rPr>
          <w:rFonts w:ascii="Times New Roman" w:hAnsi="Times New Roman"/>
          <w:sz w:val="20"/>
        </w:rPr>
        <w:t xml:space="preserve">(iii) any “Change in Control” (or any comparable term) in any document pertaining to any Material Indebtedness (including the Credit Agreement) </w:t>
      </w:r>
    </w:p>
    <w:p>
      <w:pPr>
        <w:pStyle w:val="TextBody"/>
        <w:bidi w:val="0"/>
        <w:spacing w:before="240" w:after="0"/>
        <w:jc w:val="left"/>
        <w:rPr/>
      </w:pPr>
      <w:r>
        <w:rPr/>
        <w:t>“</w:t>
      </w:r>
      <w:r>
        <w:rPr>
          <w:rFonts w:ascii="Times New Roman" w:hAnsi="Times New Roman"/>
          <w:sz w:val="20"/>
          <w:u w:val="single"/>
        </w:rPr>
        <w:t>Change in Law</w:t>
      </w:r>
      <w:r>
        <w:rPr>
          <w:rFonts w:ascii="Times New Roman" w:hAnsi="Times New Roman"/>
          <w:sz w:val="20"/>
        </w:rPr>
        <w:t xml:space="preserve">” means the occurrence, after the Closing Date, of any of the following: (a) the adoption or taking effect of any Law, (b) any change in any Law or in the administration, interpretation, implementation or application thereof by any Official Body or (c) the making or issuance of any request, rule, guideline or directive (whether or not having the force of Law) by any Official Body; </w:t>
      </w:r>
      <w:r>
        <w:rPr>
          <w:rFonts w:ascii="Times New Roman" w:hAnsi="Times New Roman"/>
          <w:sz w:val="20"/>
          <w:u w:val="single"/>
        </w:rPr>
        <w:t>provided</w:t>
      </w:r>
      <w:r>
        <w:rPr>
          <w:rFonts w:ascii="Times New Roman" w:hAnsi="Times New Roman"/>
          <w:sz w:val="20"/>
        </w:rPr>
        <w:t xml:space="preserve"> that notwithstanding anything herein to the contrary, (x) the Dodd-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Frank Wall Street Reform and Consumer Protection Act and all requests, rules, regulations, guidelines, interpretations or directives thereunder or issued in connection therewith and (y) all requests, rules, regulations, guidelines, interpretations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promulgated or implemented. </w:t>
      </w:r>
    </w:p>
    <w:p>
      <w:pPr>
        <w:pStyle w:val="TextBody"/>
        <w:bidi w:val="0"/>
        <w:spacing w:before="240" w:after="0"/>
        <w:jc w:val="left"/>
        <w:rPr/>
      </w:pPr>
      <w:r>
        <w:rPr/>
        <w:t>“</w:t>
      </w:r>
      <w:r>
        <w:rPr>
          <w:rFonts w:ascii="Times New Roman" w:hAnsi="Times New Roman"/>
          <w:sz w:val="20"/>
          <w:u w:val="single"/>
        </w:rPr>
        <w:t>CIP Regulations</w:t>
      </w:r>
      <w:r>
        <w:rPr>
          <w:rFonts w:ascii="Times New Roman" w:hAnsi="Times New Roman"/>
          <w:sz w:val="20"/>
        </w:rPr>
        <w:t xml:space="preserve">” has the meaning set forth in </w:t>
      </w:r>
      <w:r>
        <w:rPr>
          <w:rFonts w:ascii="Times New Roman" w:hAnsi="Times New Roman"/>
          <w:sz w:val="20"/>
          <w:u w:val="single"/>
        </w:rPr>
        <w:t>Section 10.11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Class</w:t>
      </w:r>
      <w:r>
        <w:rPr>
          <w:rFonts w:ascii="Times New Roman" w:hAnsi="Times New Roman"/>
          <w:sz w:val="20"/>
        </w:rPr>
        <w:t xml:space="preserve">” means (a) with respect to Lenders, each of the following classes of Lenders: (i) Lenders having Class A Exposure, and (ii) Lenders having Class B Exposure, and (b) with respect to Loans, each of the following classes of Loans: (i) Class A Loans and (ii) Class B Term Loans. </w:t>
      </w:r>
    </w:p>
    <w:p>
      <w:pPr>
        <w:pStyle w:val="TextBody"/>
        <w:bidi w:val="0"/>
        <w:spacing w:before="240" w:after="0"/>
        <w:jc w:val="left"/>
        <w:rPr/>
      </w:pPr>
      <w:r>
        <w:rPr/>
        <w:t>“</w:t>
      </w:r>
      <w:r>
        <w:rPr>
          <w:rFonts w:ascii="Times New Roman" w:hAnsi="Times New Roman"/>
          <w:sz w:val="20"/>
          <w:u w:val="single"/>
        </w:rPr>
        <w:t>Class A Borrowing Base</w:t>
      </w:r>
      <w:r>
        <w:rPr>
          <w:rFonts w:ascii="Times New Roman" w:hAnsi="Times New Roman"/>
          <w:sz w:val="20"/>
        </w:rPr>
        <w:t xml:space="preserve">” means, at any time, the amount equal to the lesser of (a) the Class A Facility Limit and (b) the amount equal to (i) the Net Receivables Pool Balance at such time, </w:t>
      </w:r>
      <w:r>
        <w:rPr>
          <w:rFonts w:ascii="Times New Roman" w:hAnsi="Times New Roman"/>
          <w:sz w:val="20"/>
          <w:u w:val="single"/>
        </w:rPr>
        <w:t>minus</w:t>
      </w:r>
      <w:r>
        <w:rPr>
          <w:rFonts w:ascii="Times New Roman" w:hAnsi="Times New Roman"/>
          <w:sz w:val="20"/>
        </w:rPr>
        <w:t xml:space="preserve"> (ii) the Total Reserves at such time. </w:t>
      </w:r>
    </w:p>
    <w:p>
      <w:pPr>
        <w:pStyle w:val="TextBody"/>
        <w:bidi w:val="0"/>
        <w:spacing w:before="240" w:after="0"/>
        <w:jc w:val="left"/>
        <w:rPr/>
      </w:pPr>
      <w:r>
        <w:rPr/>
        <w:t>“</w:t>
      </w:r>
      <w:r>
        <w:rPr>
          <w:rFonts w:ascii="Times New Roman" w:hAnsi="Times New Roman"/>
          <w:sz w:val="20"/>
          <w:u w:val="single"/>
        </w:rPr>
        <w:t>Class A Borrowing Base Deficit</w:t>
      </w:r>
      <w:r>
        <w:rPr>
          <w:rFonts w:ascii="Times New Roman" w:hAnsi="Times New Roman"/>
          <w:sz w:val="20"/>
        </w:rPr>
        <w:t xml:space="preserve">” means, at any time of determination, the amount, if any, by which (a) the aggregate outstanding principal amounts of the Class A Loans of each Class A Lender at such time, </w:t>
      </w:r>
      <w:r>
        <w:rPr>
          <w:rFonts w:ascii="Times New Roman" w:hAnsi="Times New Roman"/>
          <w:sz w:val="20"/>
          <w:u w:val="single"/>
        </w:rPr>
        <w:t>exceeds</w:t>
      </w:r>
      <w:r>
        <w:rPr>
          <w:rFonts w:ascii="Times New Roman" w:hAnsi="Times New Roman"/>
          <w:sz w:val="20"/>
        </w:rPr>
        <w:t xml:space="preserve"> (b) the Class A Borrowing Base at such time. </w:t>
      </w:r>
    </w:p>
    <w:p>
      <w:pPr>
        <w:pStyle w:val="TextBody"/>
        <w:bidi w:val="0"/>
        <w:spacing w:before="240" w:after="0"/>
        <w:jc w:val="left"/>
        <w:rPr/>
      </w:pPr>
      <w:r>
        <w:rPr/>
        <w:t>“</w:t>
      </w:r>
      <w:r>
        <w:rPr>
          <w:rFonts w:ascii="Times New Roman" w:hAnsi="Times New Roman"/>
          <w:sz w:val="20"/>
          <w:u w:val="single"/>
        </w:rPr>
        <w:t>Class A Commitment</w:t>
      </w:r>
      <w:r>
        <w:rPr>
          <w:rFonts w:ascii="Times New Roman" w:hAnsi="Times New Roman"/>
          <w:sz w:val="20"/>
        </w:rPr>
        <w:t xml:space="preserve">” means, with respect to each Class A Lender, the commitment of a Class A Lender to make or otherwise fund any Class A Loan and “Class A Commitments” means such commitments of all Class A Lenders in the aggregate. The amount of each Class A Lender’s Class A Commitment, if any, is set forth on </w:t>
      </w:r>
      <w:r>
        <w:rPr>
          <w:rFonts w:ascii="Times New Roman" w:hAnsi="Times New Roman"/>
          <w:sz w:val="20"/>
          <w:u w:val="single"/>
        </w:rPr>
        <w:t>Schedule I</w:t>
      </w:r>
      <w:r>
        <w:rPr>
          <w:rFonts w:ascii="Times New Roman" w:hAnsi="Times New Roman"/>
          <w:sz w:val="20"/>
        </w:rPr>
        <w:t xml:space="preserve"> or in the applicable Assignment and Assumption Agreement, subject to any adjustment or reduction pursuant to the terms and conditions hereof. </w:t>
      </w:r>
    </w:p>
    <w:p>
      <w:pPr>
        <w:pStyle w:val="TextBody"/>
        <w:bidi w:val="0"/>
        <w:spacing w:before="240" w:after="0"/>
        <w:jc w:val="left"/>
        <w:rPr/>
      </w:pPr>
      <w:r>
        <w:rPr/>
        <w:t>“</w:t>
      </w:r>
      <w:r>
        <w:rPr>
          <w:rFonts w:ascii="Times New Roman" w:hAnsi="Times New Roman"/>
          <w:sz w:val="20"/>
          <w:u w:val="single"/>
        </w:rPr>
        <w:t>Class A Exposure</w:t>
      </w:r>
      <w:r>
        <w:rPr>
          <w:rFonts w:ascii="Times New Roman" w:hAnsi="Times New Roman"/>
          <w:sz w:val="20"/>
        </w:rPr>
        <w:t xml:space="preserve">” means, with respect to any Lender as of any date of determination, (a) prior to the termination of the Class A Commitments, that Lender’s Class A Commitment; and (b) after the termination of the Class A Commitments, the aggregate outstanding Principal amount of the Class A Loans of that Lender. </w:t>
      </w:r>
    </w:p>
    <w:p>
      <w:pPr>
        <w:pStyle w:val="TextBody"/>
        <w:bidi w:val="0"/>
        <w:spacing w:before="240" w:after="0"/>
        <w:jc w:val="left"/>
        <w:rPr/>
      </w:pPr>
      <w:r>
        <w:rPr/>
        <w:t>“</w:t>
      </w:r>
      <w:r>
        <w:rPr>
          <w:rFonts w:ascii="Times New Roman" w:hAnsi="Times New Roman"/>
          <w:sz w:val="20"/>
          <w:u w:val="single"/>
        </w:rPr>
        <w:t>Class A Facility Limit</w:t>
      </w:r>
      <w:r>
        <w:rPr>
          <w:rFonts w:ascii="Times New Roman" w:hAnsi="Times New Roman"/>
          <w:sz w:val="20"/>
        </w:rPr>
        <w:t>” means $</w:t>
      </w:r>
      <w:r>
        <w:rPr>
          <w:rFonts w:ascii="Times New Roman" w:hAnsi="Times New Roman"/>
          <w:strike/>
          <w:color w:val="FF0000"/>
          <w:sz w:val="20"/>
        </w:rPr>
        <w:t>115,000,000</w:t>
      </w:r>
      <w:r>
        <w:rPr>
          <w:rFonts w:ascii="Times New Roman" w:hAnsi="Times New Roman"/>
          <w:color w:val="0000FF"/>
          <w:sz w:val="20"/>
          <w:u w:val="single"/>
          <w:bdr w:val="double" w:sz="2" w:space="1" w:color="000000"/>
        </w:rPr>
        <w:t xml:space="preserve">130,000,000 </w:t>
      </w:r>
      <w:r>
        <w:rPr>
          <w:rFonts w:ascii="Times New Roman" w:hAnsi="Times New Roman"/>
          <w:sz w:val="20"/>
        </w:rPr>
        <w:t xml:space="preserve">. References to the unused portion of the Class A Facility Limit shall mean, at any time of determination, an amount equal to (x) the Class A Facility Limit at such time, </w:t>
      </w:r>
      <w:r>
        <w:rPr>
          <w:rFonts w:ascii="Times New Roman" w:hAnsi="Times New Roman"/>
          <w:sz w:val="20"/>
          <w:u w:val="single"/>
        </w:rPr>
        <w:t>minus</w:t>
      </w:r>
      <w:r>
        <w:rPr>
          <w:rFonts w:ascii="Times New Roman" w:hAnsi="Times New Roman"/>
          <w:sz w:val="20"/>
        </w:rPr>
        <w:t xml:space="preserve"> (y) the Aggregate Class A Loan Amount at such time. </w:t>
      </w:r>
    </w:p>
    <w:p>
      <w:pPr>
        <w:pStyle w:val="TextBody"/>
        <w:bidi w:val="0"/>
        <w:spacing w:before="240" w:after="0"/>
        <w:jc w:val="left"/>
        <w:rPr/>
      </w:pPr>
      <w:r>
        <w:rPr/>
        <w:t>“</w:t>
      </w:r>
      <w:r>
        <w:rPr>
          <w:rFonts w:ascii="Times New Roman" w:hAnsi="Times New Roman"/>
          <w:sz w:val="20"/>
          <w:u w:val="single"/>
        </w:rPr>
        <w:t>Class A Final Maturity Date</w:t>
      </w:r>
      <w:r>
        <w:rPr>
          <w:rFonts w:ascii="Times New Roman" w:hAnsi="Times New Roman"/>
          <w:sz w:val="20"/>
        </w:rPr>
        <w:t xml:space="preserve">” means the earlier to occur of (a) the date that is 60 days following the Scheduled Termination Date or the date of any Financial Covenant Event, (b) the Termination Date unless such Termination Date occurs solely as a result of the Scheduled Termination Date’s occurrence and (c) the Class B Final Maturity Date. </w:t>
      </w:r>
    </w:p>
    <w:p>
      <w:pPr>
        <w:pStyle w:val="TextBody"/>
        <w:bidi w:val="0"/>
        <w:spacing w:before="240" w:after="0"/>
        <w:jc w:val="left"/>
        <w:rPr/>
      </w:pPr>
      <w:r>
        <w:rPr/>
        <w:t>“</w:t>
      </w:r>
      <w:r>
        <w:rPr>
          <w:rFonts w:ascii="Times New Roman" w:hAnsi="Times New Roman"/>
          <w:sz w:val="20"/>
          <w:u w:val="single"/>
        </w:rPr>
        <w:t>Class A Obligations</w:t>
      </w:r>
      <w:r>
        <w:rPr>
          <w:rFonts w:ascii="Times New Roman" w:hAnsi="Times New Roman"/>
          <w:sz w:val="20"/>
        </w:rPr>
        <w:t xml:space="preserve">” means the Borrower Obligations in respect of the Class A Loans. </w:t>
      </w:r>
    </w:p>
    <w:p>
      <w:pPr>
        <w:pStyle w:val="TextBody"/>
        <w:bidi w:val="0"/>
        <w:spacing w:before="240" w:after="0"/>
        <w:jc w:val="left"/>
        <w:rPr/>
      </w:pPr>
      <w:r>
        <w:rPr/>
        <w:t>“</w:t>
      </w:r>
      <w:r>
        <w:rPr>
          <w:rFonts w:ascii="Times New Roman" w:hAnsi="Times New Roman"/>
          <w:sz w:val="20"/>
          <w:u w:val="single"/>
        </w:rPr>
        <w:t>Class A Lender</w:t>
      </w:r>
      <w:r>
        <w:rPr>
          <w:rFonts w:ascii="Times New Roman" w:hAnsi="Times New Roman"/>
          <w:sz w:val="20"/>
        </w:rPr>
        <w:t xml:space="preserve">” means a Lender with a Class A Commitment or Class A Loan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Class A Lender Representative</w:t>
      </w:r>
      <w:r>
        <w:rPr>
          <w:rFonts w:ascii="Times New Roman" w:hAnsi="Times New Roman"/>
          <w:sz w:val="20"/>
        </w:rPr>
        <w:t xml:space="preserve">” has the meaning specified in </w:t>
      </w:r>
      <w:r>
        <w:rPr>
          <w:rFonts w:ascii="Times New Roman" w:hAnsi="Times New Roman"/>
          <w:sz w:val="20"/>
          <w:u w:val="single"/>
        </w:rPr>
        <w:t>Section 13.01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Class A Loan</w:t>
      </w:r>
      <w:r>
        <w:rPr>
          <w:rFonts w:ascii="Times New Roman" w:hAnsi="Times New Roman"/>
          <w:sz w:val="20"/>
        </w:rPr>
        <w:t xml:space="preserve">” means any loan made by a Class A Lender pursuant to </w:t>
      </w:r>
      <w:r>
        <w:rPr>
          <w:rFonts w:ascii="Times New Roman" w:hAnsi="Times New Roman"/>
          <w:sz w:val="20"/>
          <w:u w:val="single"/>
        </w:rPr>
        <w:t>Section 2.01(b)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Class B Commitment</w:t>
      </w:r>
      <w:r>
        <w:rPr>
          <w:rFonts w:ascii="Times New Roman" w:hAnsi="Times New Roman"/>
          <w:sz w:val="20"/>
        </w:rPr>
        <w:t xml:space="preserve">” means, with respect to each Class B Lender, the commitment of a Class B Lender to make or otherwise fund any Class B Term Loan and “Class B Commitments” means such commitments of all Class B Lenders in the aggregate. The amount of each Class B Lender’s Class B Commitment, if any, is set forth on </w:t>
      </w:r>
      <w:r>
        <w:rPr>
          <w:rFonts w:ascii="Times New Roman" w:hAnsi="Times New Roman"/>
          <w:sz w:val="20"/>
          <w:u w:val="single"/>
        </w:rPr>
        <w:t>Schedule I</w:t>
      </w:r>
      <w:r>
        <w:rPr>
          <w:rFonts w:ascii="Times New Roman" w:hAnsi="Times New Roman"/>
          <w:sz w:val="20"/>
        </w:rPr>
        <w:t xml:space="preserve">. Each Class B Lender’s Class B Commitment shall terminate immediately and without further action upon the funding of such Class B Term Loan on the First Amendment Date and shall be $0 (zero) for all purposes thereafter. </w:t>
      </w:r>
    </w:p>
    <w:p>
      <w:pPr>
        <w:pStyle w:val="TextBody"/>
        <w:bidi w:val="0"/>
        <w:spacing w:before="240" w:after="0"/>
        <w:jc w:val="left"/>
        <w:rPr/>
      </w:pPr>
      <w:r>
        <w:rPr/>
        <w:t>“</w:t>
      </w:r>
      <w:r>
        <w:rPr>
          <w:rFonts w:ascii="Times New Roman" w:hAnsi="Times New Roman"/>
          <w:sz w:val="20"/>
          <w:u w:val="single"/>
        </w:rPr>
        <w:t>Class B Drawn Fee</w:t>
      </w:r>
      <w:r>
        <w:rPr>
          <w:rFonts w:ascii="Times New Roman" w:hAnsi="Times New Roman"/>
          <w:sz w:val="20"/>
        </w:rPr>
        <w:t xml:space="preserve">” has the meaning set forth in the Fee Letters. </w:t>
      </w:r>
    </w:p>
    <w:p>
      <w:pPr>
        <w:pStyle w:val="TextBody"/>
        <w:bidi w:val="0"/>
        <w:spacing w:before="240" w:after="0"/>
        <w:jc w:val="left"/>
        <w:rPr/>
      </w:pPr>
      <w:r>
        <w:rPr/>
        <w:t>“</w:t>
      </w:r>
      <w:r>
        <w:rPr>
          <w:rFonts w:ascii="Times New Roman" w:hAnsi="Times New Roman"/>
          <w:sz w:val="20"/>
          <w:u w:val="single"/>
        </w:rPr>
        <w:t>Class B Exposure</w:t>
      </w:r>
      <w:r>
        <w:rPr>
          <w:rFonts w:ascii="Times New Roman" w:hAnsi="Times New Roman"/>
          <w:sz w:val="20"/>
        </w:rPr>
        <w:t xml:space="preserve">” means, with respect to any Lender as of any date of determination, (a) prior to the termination of the Class B Commitments, that Lender’s Class B Commitment; and (b) after the termination of the Class B Commitments, the aggregate outstanding Principal amount of the Class B Term Loans of that Lender. </w:t>
      </w:r>
    </w:p>
    <w:p>
      <w:pPr>
        <w:pStyle w:val="TextBody"/>
        <w:bidi w:val="0"/>
        <w:spacing w:before="240" w:after="0"/>
        <w:jc w:val="left"/>
        <w:rPr/>
      </w:pPr>
      <w:r>
        <w:rPr/>
        <w:t>“</w:t>
      </w:r>
      <w:r>
        <w:rPr>
          <w:rFonts w:ascii="Times New Roman" w:hAnsi="Times New Roman"/>
          <w:sz w:val="20"/>
          <w:u w:val="single"/>
        </w:rPr>
        <w:t>Class B Facility Limit</w:t>
      </w:r>
      <w:r>
        <w:rPr>
          <w:rFonts w:ascii="Times New Roman" w:hAnsi="Times New Roman"/>
          <w:sz w:val="20"/>
        </w:rPr>
        <w:t xml:space="preserve">” means $120,000,000. </w:t>
      </w:r>
    </w:p>
    <w:p>
      <w:pPr>
        <w:pStyle w:val="TextBody"/>
        <w:bidi w:val="0"/>
        <w:spacing w:before="240" w:after="0"/>
        <w:jc w:val="left"/>
        <w:rPr/>
      </w:pPr>
      <w:r>
        <w:rPr/>
        <w:t>“</w:t>
      </w:r>
      <w:r>
        <w:rPr>
          <w:rFonts w:ascii="Times New Roman" w:hAnsi="Times New Roman"/>
          <w:sz w:val="20"/>
          <w:u w:val="single"/>
        </w:rPr>
        <w:t>Class B Final Maturity Date</w:t>
      </w:r>
      <w:r>
        <w:rPr>
          <w:rFonts w:ascii="Times New Roman" w:hAnsi="Times New Roman"/>
          <w:sz w:val="20"/>
        </w:rPr>
        <w:t xml:space="preserve">” means the earlier to occur of (a) the date that is 60 days following the Scheduled Termination Date or the date of any Financial Covenant Event and (b) the Termination Date unless such Termination Date occurs solely as a result of the Scheduled Termination Date’s occurrence. </w:t>
      </w:r>
    </w:p>
    <w:p>
      <w:pPr>
        <w:pStyle w:val="TextBody"/>
        <w:bidi w:val="0"/>
        <w:spacing w:before="240" w:after="0"/>
        <w:jc w:val="left"/>
        <w:rPr/>
      </w:pPr>
      <w:r>
        <w:rPr/>
        <w:t>“</w:t>
      </w:r>
      <w:r>
        <w:rPr>
          <w:rFonts w:ascii="Times New Roman" w:hAnsi="Times New Roman"/>
          <w:sz w:val="20"/>
          <w:u w:val="single"/>
        </w:rPr>
        <w:t>Class B Lender</w:t>
      </w:r>
      <w:r>
        <w:rPr>
          <w:rFonts w:ascii="Times New Roman" w:hAnsi="Times New Roman"/>
          <w:sz w:val="20"/>
        </w:rPr>
        <w:t xml:space="preserve">” means a Lender with a Class B Commitment or Class B Term Loan at such time. </w:t>
      </w:r>
    </w:p>
    <w:p>
      <w:pPr>
        <w:pStyle w:val="TextBody"/>
        <w:bidi w:val="0"/>
        <w:spacing w:before="240" w:after="0"/>
        <w:jc w:val="left"/>
        <w:rPr/>
      </w:pPr>
      <w:r>
        <w:rPr/>
        <w:t>“</w:t>
      </w:r>
      <w:r>
        <w:rPr>
          <w:rFonts w:ascii="Times New Roman" w:hAnsi="Times New Roman"/>
          <w:sz w:val="20"/>
          <w:u w:val="single"/>
        </w:rPr>
        <w:t>Class B Lender Representative</w:t>
      </w:r>
      <w:r>
        <w:rPr>
          <w:rFonts w:ascii="Times New Roman" w:hAnsi="Times New Roman"/>
          <w:sz w:val="20"/>
        </w:rPr>
        <w:t xml:space="preserve">” has the meaning specified in </w:t>
      </w:r>
      <w:r>
        <w:rPr>
          <w:rFonts w:ascii="Times New Roman" w:hAnsi="Times New Roman"/>
          <w:sz w:val="20"/>
          <w:u w:val="single"/>
        </w:rPr>
        <w:t>Section 13.02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Class B Obligations</w:t>
      </w:r>
      <w:r>
        <w:rPr>
          <w:rFonts w:ascii="Times New Roman" w:hAnsi="Times New Roman"/>
          <w:sz w:val="20"/>
        </w:rPr>
        <w:t xml:space="preserve">” means the Borrower Obligations in respect of the Class B Term Loans. </w:t>
      </w:r>
    </w:p>
    <w:p>
      <w:pPr>
        <w:pStyle w:val="TextBody"/>
        <w:bidi w:val="0"/>
        <w:spacing w:before="240" w:after="0"/>
        <w:jc w:val="left"/>
        <w:rPr/>
      </w:pPr>
      <w:r>
        <w:rPr/>
        <w:t>“</w:t>
      </w:r>
      <w:r>
        <w:rPr>
          <w:rFonts w:ascii="Times New Roman" w:hAnsi="Times New Roman"/>
          <w:sz w:val="20"/>
          <w:u w:val="single"/>
        </w:rPr>
        <w:t>Class B Prepayment Premium</w:t>
      </w:r>
      <w:r>
        <w:rPr>
          <w:rFonts w:ascii="Times New Roman" w:hAnsi="Times New Roman"/>
          <w:sz w:val="20"/>
        </w:rPr>
        <w:t xml:space="preserve">” means, in connection with any prepayment (whether voluntarily, by acceleration or otherwise), a premium on the Class B Term Loans that are subject to such event as set forth below opposite the relevant period: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98"/>
        <w:gridCol w:w="120"/>
        <w:gridCol w:w="4887"/>
      </w:tblGrid>
      <w:tr>
        <w:trPr/>
        <w:tc>
          <w:tcPr>
            <w:tcW w:w="519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87" w:type="dxa"/>
            <w:tcBorders/>
            <w:vAlign w:val="center"/>
          </w:tcPr>
          <w:p>
            <w:pPr>
              <w:pStyle w:val="TableContents"/>
              <w:bidi w:val="0"/>
              <w:spacing w:before="0" w:after="283"/>
              <w:jc w:val="left"/>
              <w:rPr>
                <w:sz w:val="4"/>
                <w:szCs w:val="4"/>
              </w:rPr>
            </w:pPr>
            <w:r>
              <w:rPr>
                <w:sz w:val="4"/>
                <w:szCs w:val="4"/>
              </w:rPr>
            </w:r>
          </w:p>
        </w:tc>
      </w:tr>
      <w:tr>
        <w:trPr/>
        <w:tc>
          <w:tcPr>
            <w:tcW w:w="5198"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Period</w:t>
            </w:r>
          </w:p>
        </w:tc>
        <w:tc>
          <w:tcPr>
            <w:tcW w:w="120" w:type="dxa"/>
            <w:tcBorders/>
            <w:vAlign w:val="bottom"/>
          </w:tcPr>
          <w:p>
            <w:pPr>
              <w:pStyle w:val="TableContents"/>
              <w:bidi w:val="0"/>
              <w:spacing w:before="0" w:after="283"/>
              <w:jc w:val="left"/>
              <w:rPr/>
            </w:pPr>
            <w:r>
              <w:rPr/>
              <w:t>  </w:t>
            </w:r>
          </w:p>
        </w:tc>
        <w:tc>
          <w:tcPr>
            <w:tcW w:w="488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Prepayment Premium:</w:t>
            </w:r>
          </w:p>
        </w:tc>
      </w:tr>
      <w:tr>
        <w:trPr/>
        <w:tc>
          <w:tcPr>
            <w:tcW w:w="5198" w:type="dxa"/>
            <w:tcBorders/>
          </w:tcPr>
          <w:p>
            <w:pPr>
              <w:pStyle w:val="TableContents"/>
              <w:bidi w:val="0"/>
              <w:spacing w:before="0" w:after="283"/>
              <w:jc w:val="left"/>
              <w:rPr/>
            </w:pPr>
            <w:r>
              <w:rPr/>
              <w:t xml:space="preserve">On or prior to September </w:t>
            </w:r>
            <w:r>
              <w:rPr>
                <w:strike/>
                <w:color w:val="FF0000"/>
              </w:rPr>
              <w:t>29</w:t>
            </w:r>
            <w:r>
              <w:rPr>
                <w:color w:val="0000FF"/>
                <w:u w:val="single"/>
                <w:bdr w:val="double" w:sz="2" w:space="1" w:color="000000"/>
              </w:rPr>
              <w:t>30</w:t>
            </w:r>
            <w:r>
              <w:rPr/>
              <w:t xml:space="preserve">, </w:t>
            </w:r>
            <w:r>
              <w:rPr>
                <w:strike/>
                <w:color w:val="FF0000"/>
              </w:rPr>
              <w:t>2025</w:t>
            </w:r>
            <w:r>
              <w:rPr>
                <w:color w:val="0000FF"/>
                <w:u w:val="single"/>
                <w:bdr w:val="double" w:sz="2" w:space="1" w:color="000000"/>
              </w:rPr>
              <w:t>2027</w:t>
            </w:r>
            <w:r>
              <w:rPr/>
              <w:t>:</w:t>
            </w:r>
          </w:p>
        </w:tc>
        <w:tc>
          <w:tcPr>
            <w:tcW w:w="120" w:type="dxa"/>
            <w:tcBorders/>
            <w:vAlign w:val="bottom"/>
          </w:tcPr>
          <w:p>
            <w:pPr>
              <w:pStyle w:val="TableContents"/>
              <w:bidi w:val="0"/>
              <w:spacing w:before="0" w:after="283"/>
              <w:jc w:val="left"/>
              <w:rPr/>
            </w:pPr>
            <w:r>
              <w:rPr/>
              <w:t>  </w:t>
            </w:r>
          </w:p>
        </w:tc>
        <w:tc>
          <w:tcPr>
            <w:tcW w:w="4887" w:type="dxa"/>
            <w:tcBorders/>
          </w:tcPr>
          <w:p>
            <w:pPr>
              <w:pStyle w:val="TableContents"/>
              <w:bidi w:val="0"/>
              <w:spacing w:before="0" w:after="283"/>
              <w:jc w:val="left"/>
              <w:rPr/>
            </w:pPr>
            <w:r>
              <w:rPr/>
              <w:t>Applicable Make-Whole Amount</w:t>
            </w:r>
          </w:p>
        </w:tc>
      </w:tr>
      <w:tr>
        <w:trPr>
          <w:trHeight w:val="120" w:hRule="atLeast"/>
        </w:trPr>
        <w:tc>
          <w:tcPr>
            <w:tcW w:w="5198" w:type="dxa"/>
            <w:tcBorders/>
            <w:vAlign w:val="center"/>
          </w:tcPr>
          <w:p>
            <w:pPr>
              <w:pStyle w:val="TableContents"/>
              <w:bidi w:val="0"/>
              <w:spacing w:before="0" w:after="283"/>
              <w:jc w:val="left"/>
              <w:rPr>
                <w:sz w:val="4"/>
                <w:szCs w:val="4"/>
              </w:rPr>
            </w:pPr>
            <w:r>
              <w:rPr>
                <w:sz w:val="4"/>
                <w:szCs w:val="4"/>
              </w:rPr>
            </w:r>
          </w:p>
        </w:tc>
        <w:tc>
          <w:tcPr>
            <w:tcW w:w="5007" w:type="dxa"/>
            <w:gridSpan w:val="2"/>
            <w:tcBorders/>
            <w:vAlign w:val="center"/>
          </w:tcPr>
          <w:p>
            <w:pPr>
              <w:pStyle w:val="TableContents"/>
              <w:bidi w:val="0"/>
              <w:spacing w:before="0" w:after="283"/>
              <w:jc w:val="left"/>
              <w:rPr>
                <w:sz w:val="4"/>
                <w:szCs w:val="4"/>
              </w:rPr>
            </w:pPr>
            <w:r>
              <w:rPr>
                <w:sz w:val="4"/>
                <w:szCs w:val="4"/>
              </w:rPr>
            </w:r>
          </w:p>
        </w:tc>
      </w:tr>
      <w:tr>
        <w:trPr/>
        <w:tc>
          <w:tcPr>
            <w:tcW w:w="5198" w:type="dxa"/>
            <w:tcBorders/>
          </w:tcPr>
          <w:p>
            <w:pPr>
              <w:pStyle w:val="TableContents"/>
              <w:bidi w:val="0"/>
              <w:spacing w:before="0" w:after="283"/>
              <w:jc w:val="left"/>
              <w:rPr/>
            </w:pPr>
            <w:r>
              <w:rPr/>
              <w:t xml:space="preserve">Between September </w:t>
            </w:r>
            <w:r>
              <w:rPr>
                <w:strike/>
                <w:color w:val="FF0000"/>
              </w:rPr>
              <w:t>29</w:t>
            </w:r>
            <w:r>
              <w:rPr>
                <w:color w:val="0000FF"/>
                <w:u w:val="single"/>
                <w:bdr w:val="double" w:sz="2" w:space="1" w:color="000000"/>
              </w:rPr>
              <w:t>30</w:t>
            </w:r>
            <w:r>
              <w:rPr/>
              <w:t xml:space="preserve">, </w:t>
            </w:r>
            <w:r>
              <w:rPr>
                <w:strike/>
                <w:color w:val="FF0000"/>
              </w:rPr>
              <w:t>2025</w:t>
            </w:r>
            <w:r>
              <w:rPr>
                <w:color w:val="0000FF"/>
                <w:u w:val="single"/>
                <w:bdr w:val="double" w:sz="2" w:space="1" w:color="000000"/>
              </w:rPr>
              <w:t>2027</w:t>
            </w:r>
            <w:r>
              <w:rPr/>
              <w:t xml:space="preserve"> and September 29, </w:t>
            </w:r>
            <w:r>
              <w:rPr>
                <w:strike/>
                <w:color w:val="FF0000"/>
              </w:rPr>
              <w:t>2026</w:t>
            </w:r>
            <w:r>
              <w:rPr>
                <w:color w:val="0000FF"/>
                <w:u w:val="single"/>
                <w:bdr w:val="double" w:sz="2" w:space="1" w:color="000000"/>
              </w:rPr>
              <w:t>2028</w:t>
            </w:r>
            <w:r>
              <w:rPr/>
              <w:t>:</w:t>
            </w:r>
          </w:p>
        </w:tc>
        <w:tc>
          <w:tcPr>
            <w:tcW w:w="120" w:type="dxa"/>
            <w:tcBorders/>
            <w:vAlign w:val="bottom"/>
          </w:tcPr>
          <w:p>
            <w:pPr>
              <w:pStyle w:val="TableContents"/>
              <w:bidi w:val="0"/>
              <w:spacing w:before="0" w:after="283"/>
              <w:jc w:val="left"/>
              <w:rPr/>
            </w:pPr>
            <w:r>
              <w:rPr/>
              <w:t>  </w:t>
            </w:r>
          </w:p>
        </w:tc>
        <w:tc>
          <w:tcPr>
            <w:tcW w:w="4887" w:type="dxa"/>
            <w:tcBorders/>
          </w:tcPr>
          <w:p>
            <w:pPr>
              <w:pStyle w:val="TableContents"/>
              <w:bidi w:val="0"/>
              <w:spacing w:before="0" w:after="283"/>
              <w:jc w:val="left"/>
              <w:rPr/>
            </w:pPr>
            <w:r>
              <w:rPr/>
              <w:t xml:space="preserve">50% times the sum of (i) Class B Drawn Fee </w:t>
            </w:r>
            <w:r>
              <w:rPr>
                <w:u w:val="single"/>
              </w:rPr>
              <w:t>plus</w:t>
            </w:r>
            <w:r>
              <w:rPr/>
              <w:t xml:space="preserve"> (ii) the Interest Rate at such time</w:t>
            </w:r>
          </w:p>
        </w:tc>
      </w:tr>
      <w:tr>
        <w:trPr>
          <w:trHeight w:val="120" w:hRule="atLeast"/>
        </w:trPr>
        <w:tc>
          <w:tcPr>
            <w:tcW w:w="5198" w:type="dxa"/>
            <w:tcBorders/>
            <w:vAlign w:val="center"/>
          </w:tcPr>
          <w:p>
            <w:pPr>
              <w:pStyle w:val="TableContents"/>
              <w:bidi w:val="0"/>
              <w:spacing w:before="0" w:after="283"/>
              <w:jc w:val="left"/>
              <w:rPr>
                <w:sz w:val="4"/>
                <w:szCs w:val="4"/>
              </w:rPr>
            </w:pPr>
            <w:r>
              <w:rPr>
                <w:sz w:val="4"/>
                <w:szCs w:val="4"/>
              </w:rPr>
            </w:r>
          </w:p>
        </w:tc>
        <w:tc>
          <w:tcPr>
            <w:tcW w:w="5007" w:type="dxa"/>
            <w:gridSpan w:val="2"/>
            <w:tcBorders/>
            <w:vAlign w:val="center"/>
          </w:tcPr>
          <w:p>
            <w:pPr>
              <w:pStyle w:val="TableContents"/>
              <w:bidi w:val="0"/>
              <w:spacing w:before="0" w:after="283"/>
              <w:jc w:val="left"/>
              <w:rPr>
                <w:sz w:val="4"/>
                <w:szCs w:val="4"/>
              </w:rPr>
            </w:pPr>
            <w:r>
              <w:rPr>
                <w:sz w:val="4"/>
                <w:szCs w:val="4"/>
              </w:rPr>
            </w:r>
          </w:p>
        </w:tc>
      </w:tr>
      <w:tr>
        <w:trPr/>
        <w:tc>
          <w:tcPr>
            <w:tcW w:w="5198" w:type="dxa"/>
            <w:tcBorders/>
          </w:tcPr>
          <w:p>
            <w:pPr>
              <w:pStyle w:val="TableContents"/>
              <w:bidi w:val="0"/>
              <w:spacing w:before="0" w:after="283"/>
              <w:jc w:val="left"/>
              <w:rPr/>
            </w:pPr>
            <w:r>
              <w:rPr/>
              <w:t>Thereafter:</w:t>
            </w:r>
          </w:p>
        </w:tc>
        <w:tc>
          <w:tcPr>
            <w:tcW w:w="120" w:type="dxa"/>
            <w:tcBorders/>
            <w:vAlign w:val="bottom"/>
          </w:tcPr>
          <w:p>
            <w:pPr>
              <w:pStyle w:val="TableContents"/>
              <w:bidi w:val="0"/>
              <w:spacing w:before="0" w:after="283"/>
              <w:jc w:val="left"/>
              <w:rPr/>
            </w:pPr>
            <w:r>
              <w:rPr/>
              <w:t>  </w:t>
            </w:r>
          </w:p>
        </w:tc>
        <w:tc>
          <w:tcPr>
            <w:tcW w:w="4887" w:type="dxa"/>
            <w:tcBorders/>
          </w:tcPr>
          <w:p>
            <w:pPr>
              <w:pStyle w:val="TableContents"/>
              <w:bidi w:val="0"/>
              <w:spacing w:before="0" w:after="283"/>
              <w:jc w:val="left"/>
              <w:rPr/>
            </w:pPr>
            <w:r>
              <w:rPr/>
              <w:t>Par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Class B Term Loan</w:t>
      </w:r>
      <w:r>
        <w:rPr>
          <w:rFonts w:ascii="Times New Roman" w:hAnsi="Times New Roman"/>
          <w:sz w:val="20"/>
        </w:rPr>
        <w:t xml:space="preserve">” means any loan made by a Class B Lender pursuant to </w:t>
      </w:r>
      <w:r>
        <w:rPr>
          <w:rFonts w:ascii="Times New Roman" w:hAnsi="Times New Roman"/>
          <w:sz w:val="20"/>
          <w:u w:val="single"/>
        </w:rPr>
        <w:t>Section 2.01(a)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Clearing House</w:t>
      </w:r>
      <w:r>
        <w:rPr>
          <w:rFonts w:ascii="Times New Roman" w:hAnsi="Times New Roman"/>
          <w:sz w:val="20"/>
        </w:rPr>
        <w:t>” means the clearing houses that administer and implement revenue settlement that are operated by the International Air Transport Association (“</w:t>
      </w:r>
      <w:r>
        <w:rPr>
          <w:rFonts w:ascii="Times New Roman" w:hAnsi="Times New Roman"/>
          <w:sz w:val="20"/>
          <w:u w:val="single"/>
        </w:rPr>
        <w:t>IATA</w:t>
      </w:r>
      <w:r>
        <w:rPr>
          <w:rFonts w:ascii="Times New Roman" w:hAnsi="Times New Roman"/>
          <w:sz w:val="20"/>
        </w:rPr>
        <w:t xml:space="preserve">”) and Airlines Clearing House, Inc. </w:t>
      </w:r>
    </w:p>
    <w:p>
      <w:pPr>
        <w:pStyle w:val="TextBody"/>
        <w:bidi w:val="0"/>
        <w:spacing w:before="240" w:after="0"/>
        <w:jc w:val="left"/>
        <w:rPr/>
      </w:pPr>
      <w:r>
        <w:rPr/>
        <w:t>“</w:t>
      </w:r>
      <w:r>
        <w:rPr>
          <w:rFonts w:ascii="Times New Roman" w:hAnsi="Times New Roman"/>
          <w:sz w:val="20"/>
          <w:u w:val="single"/>
        </w:rPr>
        <w:t>Clearing House Eligible Foreign Obligor</w:t>
      </w:r>
      <w:r>
        <w:rPr>
          <w:rFonts w:ascii="Times New Roman" w:hAnsi="Times New Roman"/>
          <w:sz w:val="20"/>
        </w:rPr>
        <w:t xml:space="preserve">” means an Eligible Foreign Obligor that is an Eligible Clearing House Obligor. </w:t>
      </w:r>
    </w:p>
    <w:p>
      <w:pPr>
        <w:pStyle w:val="TextBody"/>
        <w:bidi w:val="0"/>
        <w:spacing w:before="240" w:after="0"/>
        <w:jc w:val="left"/>
        <w:rPr/>
      </w:pPr>
      <w:r>
        <w:rPr/>
        <w:t>“</w:t>
      </w:r>
      <w:r>
        <w:rPr>
          <w:rFonts w:ascii="Times New Roman" w:hAnsi="Times New Roman"/>
          <w:sz w:val="20"/>
          <w:u w:val="single"/>
        </w:rPr>
        <w:t>Clearing House Rules</w:t>
      </w:r>
      <w:r>
        <w:rPr>
          <w:rFonts w:ascii="Times New Roman" w:hAnsi="Times New Roman"/>
          <w:sz w:val="20"/>
        </w:rPr>
        <w:t xml:space="preserve">” means (a) the then currently effective Airlines Clearing House Manual of Procedure and (b) with respect to each other Clearing House such other rules and regulations with respect to the operation of such Clearing House. </w:t>
      </w:r>
    </w:p>
    <w:p>
      <w:pPr>
        <w:pStyle w:val="TextBody"/>
        <w:bidi w:val="0"/>
        <w:spacing w:before="240" w:after="0"/>
        <w:jc w:val="left"/>
        <w:rPr/>
      </w:pPr>
      <w:r>
        <w:rPr/>
        <w:t>“</w:t>
      </w:r>
      <w:r>
        <w:rPr>
          <w:rFonts w:ascii="Times New Roman" w:hAnsi="Times New Roman"/>
          <w:sz w:val="20"/>
          <w:u w:val="single"/>
        </w:rPr>
        <w:t>Closing Date</w:t>
      </w:r>
      <w:r>
        <w:rPr>
          <w:rFonts w:ascii="Times New Roman" w:hAnsi="Times New Roman"/>
          <w:sz w:val="20"/>
        </w:rPr>
        <w:t xml:space="preserve">” means February 14, 2023.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Internal Revenue Code of 1986, as amended from time to time. </w:t>
      </w:r>
    </w:p>
    <w:p>
      <w:pPr>
        <w:pStyle w:val="TextBody"/>
        <w:bidi w:val="0"/>
        <w:spacing w:before="240" w:after="0"/>
        <w:jc w:val="left"/>
        <w:rPr/>
      </w:pPr>
      <w:r>
        <w:rPr/>
        <w:t>“</w:t>
      </w:r>
      <w:r>
        <w:rPr>
          <w:rFonts w:ascii="Times New Roman" w:hAnsi="Times New Roman"/>
          <w:sz w:val="20"/>
          <w:u w:val="single"/>
        </w:rPr>
        <w:t>Collateral</w:t>
      </w:r>
      <w:r>
        <w:rPr>
          <w:rFonts w:ascii="Times New Roman" w:hAnsi="Times New Roman"/>
          <w:sz w:val="20"/>
        </w:rPr>
        <w:t xml:space="preserve">” has the meaning set forth in </w:t>
      </w:r>
      <w:r>
        <w:rPr>
          <w:rFonts w:ascii="Times New Roman" w:hAnsi="Times New Roman"/>
          <w:sz w:val="20"/>
          <w:u w:val="single"/>
        </w:rPr>
        <w:t>Section 2.07(a)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Collection Account</w:t>
      </w:r>
      <w:r>
        <w:rPr>
          <w:rFonts w:ascii="Times New Roman" w:hAnsi="Times New Roman"/>
          <w:sz w:val="20"/>
        </w:rPr>
        <w:t xml:space="preserve">” means each account listed on </w:t>
      </w:r>
      <w:r>
        <w:rPr>
          <w:rFonts w:ascii="Times New Roman" w:hAnsi="Times New Roman"/>
          <w:sz w:val="20"/>
          <w:u w:val="single"/>
        </w:rPr>
        <w:t>Schedule II</w:t>
      </w:r>
      <w:r>
        <w:rPr>
          <w:rFonts w:ascii="Times New Roman" w:hAnsi="Times New Roman"/>
          <w:sz w:val="20"/>
        </w:rPr>
        <w:t xml:space="preserve"> to this Agreement (as such schedule may be modified from time to time in connection with the closing or opening of any Collection Account in accordance with the terms hereof) (in each case, in the name of the Borrower) and maintained at a bank or other financial institution acting as a Collection Account Bank pursuant to an Account Control Agreement for the purpose of receiving Collections. </w:t>
      </w:r>
    </w:p>
    <w:p>
      <w:pPr>
        <w:pStyle w:val="TextBody"/>
        <w:bidi w:val="0"/>
        <w:spacing w:before="240" w:after="0"/>
        <w:jc w:val="left"/>
        <w:rPr/>
      </w:pPr>
      <w:r>
        <w:rPr/>
        <w:t>“</w:t>
      </w:r>
      <w:r>
        <w:rPr>
          <w:rFonts w:ascii="Times New Roman" w:hAnsi="Times New Roman"/>
          <w:sz w:val="20"/>
          <w:u w:val="single"/>
        </w:rPr>
        <w:t>Collection Account Bank</w:t>
      </w:r>
      <w:r>
        <w:rPr>
          <w:rFonts w:ascii="Times New Roman" w:hAnsi="Times New Roman"/>
          <w:sz w:val="20"/>
        </w:rPr>
        <w:t xml:space="preserve">” means any of the banks or other financial institutions holding one or more Collection Accounts. </w:t>
      </w:r>
    </w:p>
    <w:p>
      <w:pPr>
        <w:pStyle w:val="TextBody"/>
        <w:bidi w:val="0"/>
        <w:spacing w:before="240" w:after="0"/>
        <w:jc w:val="left"/>
        <w:rPr/>
      </w:pPr>
      <w:r>
        <w:rPr/>
        <w:t>“</w:t>
      </w:r>
      <w:r>
        <w:rPr>
          <w:rFonts w:ascii="Times New Roman" w:hAnsi="Times New Roman"/>
          <w:sz w:val="20"/>
          <w:u w:val="single"/>
        </w:rPr>
        <w:t>Collections</w:t>
      </w:r>
      <w:r>
        <w:rPr>
          <w:rFonts w:ascii="Times New Roman" w:hAnsi="Times New Roman"/>
          <w:sz w:val="20"/>
        </w:rPr>
        <w:t>” means, with respect to any Pool Receivable: (a) all funds that are received by any Borrower-Related Party or any other Person on their behalf in payment of any amounts owed in respect of such Pool Receivable (including purchase price, service charges, finance charges, interest, fees and all other charges</w:t>
      </w:r>
      <w:r>
        <w:rPr>
          <w:rFonts w:ascii="Times New Roman" w:hAnsi="Times New Roman"/>
          <w:color w:val="0000FF"/>
          <w:sz w:val="20"/>
          <w:u w:val="single"/>
          <w:bdr w:val="double" w:sz="2" w:space="1" w:color="000000"/>
        </w:rPr>
        <w:t xml:space="preserve"> and any amounts received on account of VAT where such VAT was included in the Outstanding Balance for the relevant Pool Receivables</w:t>
      </w:r>
      <w:r>
        <w:rPr>
          <w:rFonts w:ascii="Times New Roman" w:hAnsi="Times New Roman"/>
          <w:sz w:val="20"/>
        </w:rPr>
        <w:t>), or applied to amounts owed in respect of such Pool Receivable (including insurance payments, proceeds of drawings under supporting letters of credit and net proceeds of the sale or other disposition of repossessed goods or other collateral or property of the related Obligor or any other Person directly or indirectly liable for the payment of such Pool Receivable and available to be applied thereon), (b) all Deemed Collections, (c) all proceeds of all Related Security with respect to such Pool Receivable</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(d) all amounts paid by or on behalf of a Credit Insurer under any Credit Insurance Policy or in respect of any claim thereunder,</w:t>
      </w:r>
      <w:r>
        <w:rPr>
          <w:rFonts w:ascii="Times New Roman" w:hAnsi="Times New Roman"/>
          <w:strike/>
          <w:color w:val="FF0000"/>
          <w:sz w:val="20"/>
        </w:rPr>
        <w:t xml:space="preserve"> and </w:t>
      </w:r>
      <w:r>
        <w:rPr>
          <w:rFonts w:ascii="Times New Roman" w:hAnsi="Times New Roman"/>
          <w:sz w:val="20"/>
        </w:rPr>
        <w:t>(e) </w:t>
      </w:r>
      <w:r>
        <w:rPr>
          <w:rFonts w:ascii="Times New Roman" w:hAnsi="Times New Roman"/>
          <w:color w:val="0000FF"/>
          <w:sz w:val="20"/>
          <w:u w:val="single"/>
          <w:bdr w:val="double" w:sz="2" w:space="1" w:color="000000"/>
        </w:rPr>
        <w:t>the amount of any refund or credit for the VAT component of any Pool Receivable obtained by any Person pursuant to a claim for bad debt relief in respect of the relevant Pool Receivable, and (f) </w:t>
      </w:r>
      <w:r>
        <w:rPr>
          <w:rFonts w:ascii="Times New Roman" w:hAnsi="Times New Roman"/>
          <w:sz w:val="20"/>
        </w:rPr>
        <w:t xml:space="preserve">all other proceeds of such Pool Receivable. </w:t>
      </w:r>
    </w:p>
    <w:p>
      <w:pPr>
        <w:pStyle w:val="TextBody"/>
        <w:bidi w:val="0"/>
        <w:spacing w:before="240" w:after="0"/>
        <w:jc w:val="left"/>
        <w:rPr/>
      </w:pPr>
      <w:r>
        <w:rPr/>
        <w:t>“</w:t>
      </w:r>
      <w:r>
        <w:rPr>
          <w:rFonts w:ascii="Times New Roman" w:hAnsi="Times New Roman"/>
          <w:sz w:val="20"/>
          <w:u w:val="single"/>
        </w:rPr>
        <w:t>Committed Buy-Out Notice</w:t>
      </w:r>
      <w:r>
        <w:rPr>
          <w:rFonts w:ascii="Times New Roman" w:hAnsi="Times New Roman"/>
          <w:sz w:val="20"/>
        </w:rPr>
        <w:t xml:space="preserve">” has the meaning specified in </w:t>
      </w:r>
      <w:r>
        <w:rPr>
          <w:rFonts w:ascii="Times New Roman" w:hAnsi="Times New Roman"/>
          <w:sz w:val="20"/>
          <w:u w:val="single"/>
        </w:rPr>
        <w:t>Section 9.04(a)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Commitment</w:t>
      </w:r>
      <w:r>
        <w:rPr>
          <w:rFonts w:ascii="Times New Roman" w:hAnsi="Times New Roman"/>
          <w:sz w:val="20"/>
        </w:rPr>
        <w:t xml:space="preserve">” means, with respect to any Lender, such Lender’s Class A Commitments and Class B Commitments,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Communications</w:t>
      </w:r>
      <w:r>
        <w:rPr>
          <w:rFonts w:ascii="Times New Roman" w:hAnsi="Times New Roman"/>
          <w:sz w:val="20"/>
        </w:rPr>
        <w:t xml:space="preserve">” has the meaning set forth in </w:t>
      </w:r>
      <w:r>
        <w:rPr>
          <w:rFonts w:ascii="Times New Roman" w:hAnsi="Times New Roman"/>
          <w:sz w:val="20"/>
          <w:u w:val="single"/>
        </w:rPr>
        <w:t>Section 12.03(d)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Concentration Percentage</w:t>
      </w:r>
      <w:r>
        <w:rPr>
          <w:rFonts w:ascii="Times New Roman" w:hAnsi="Times New Roman"/>
          <w:sz w:val="20"/>
        </w:rPr>
        <w:t xml:space="preserve">” means (a) except as provided in </w:t>
      </w:r>
      <w:r>
        <w:rPr>
          <w:rFonts w:ascii="Times New Roman" w:hAnsi="Times New Roman"/>
          <w:sz w:val="20"/>
          <w:u w:val="single"/>
        </w:rPr>
        <w:t>clause (b)</w:t>
      </w:r>
      <w:r>
        <w:rPr>
          <w:rFonts w:ascii="Times New Roman" w:hAnsi="Times New Roman"/>
          <w:sz w:val="20"/>
        </w:rPr>
        <w:t> below, (i) for any Group A Obligor, 22.50%, (ii) for any Group B Obligor, 15.00%, (iii) for any Group C Obligor, 10.00% and (iv) for any Group D Obligor, 5.00% and (b) for each of the Obligors listed in the chart below (each, a “</w:t>
      </w:r>
      <w:r>
        <w:rPr>
          <w:rFonts w:ascii="Times New Roman" w:hAnsi="Times New Roman"/>
          <w:sz w:val="20"/>
          <w:u w:val="single"/>
        </w:rPr>
        <w:t>Special Obligor</w:t>
      </w:r>
      <w:r>
        <w:rPr>
          <w:rFonts w:ascii="Times New Roman" w:hAnsi="Times New Roman"/>
          <w:sz w:val="20"/>
        </w:rPr>
        <w:t xml:space="preserve">”), the percentage that is 2.50% greater than the Concentration Percentage for such Special Obligor(s) as determined pursuant to </w:t>
      </w:r>
      <w:r>
        <w:rPr>
          <w:rFonts w:ascii="Times New Roman" w:hAnsi="Times New Roman"/>
          <w:sz w:val="20"/>
          <w:u w:val="single"/>
        </w:rPr>
        <w:t>clause (a)</w:t>
      </w:r>
      <w:r>
        <w:rPr>
          <w:rFonts w:ascii="Times New Roman" w:hAnsi="Times New Roman"/>
          <w:sz w:val="20"/>
        </w:rPr>
        <w:t> above (the applicable “</w:t>
      </w:r>
      <w:r>
        <w:rPr>
          <w:rFonts w:ascii="Times New Roman" w:hAnsi="Times New Roman"/>
          <w:sz w:val="20"/>
          <w:u w:val="single"/>
        </w:rPr>
        <w:t>Special Concentration Limit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Administrative Agent may, upon five (5) Business Days’ written notice to the Borrower, cancel or reduce the Special Concentration Limit with respect to any Special Obligor, in which case the Concentration Percentage for such Special Obligor(s) shall be determined pursuant to </w:t>
      </w:r>
      <w:r>
        <w:rPr>
          <w:rFonts w:ascii="Times New Roman" w:hAnsi="Times New Roman"/>
          <w:sz w:val="20"/>
          <w:u w:val="single"/>
        </w:rPr>
        <w:t>clause (a)</w:t>
      </w:r>
      <w:r>
        <w:rPr>
          <w:rFonts w:ascii="Times New Roman" w:hAnsi="Times New Roman"/>
          <w:sz w:val="20"/>
        </w:rPr>
        <w:t xml:space="preserve"> above. In the event that any other Obligor is or becomes an Affiliate of a Special Obligor, the Special Concentration Limit shall apply to both such Obligor and such Special Obligor and shall be calculated as if such Obligor and such Special Obligor were a single Obligor.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center"/>
              <w:rPr>
                <w:u w:val="single"/>
              </w:rPr>
            </w:pPr>
            <w:r>
              <w:rPr>
                <w:u w:val="single"/>
              </w:rPr>
              <w:t>Special Obligor</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center"/>
              <w:rPr/>
            </w:pPr>
            <w:r>
              <w:rPr/>
              <w:t>American Airlines, Inc.</w:t>
            </w:r>
          </w:p>
        </w:tc>
      </w:tr>
    </w:tbl>
    <w:p>
      <w:pPr>
        <w:pStyle w:val="TextBody"/>
        <w:bidi w:val="0"/>
        <w:spacing w:before="240" w:after="0"/>
        <w:jc w:val="left"/>
        <w:rPr/>
      </w:pPr>
      <w:r>
        <w:rPr/>
        <w:t>“</w:t>
      </w:r>
      <w:r>
        <w:rPr>
          <w:rFonts w:ascii="Times New Roman" w:hAnsi="Times New Roman"/>
          <w:sz w:val="20"/>
          <w:u w:val="single"/>
        </w:rPr>
        <w:t>Concentration Reserve Percentage</w:t>
      </w:r>
      <w:r>
        <w:rPr>
          <w:rFonts w:ascii="Times New Roman" w:hAnsi="Times New Roman"/>
          <w:sz w:val="20"/>
        </w:rPr>
        <w:t xml:space="preserve">” means, at any time, the largest of: (a) the sum of the five (5) largest Obligor Percentages of the Group D Obligors, (b) the sum of the three (3) largest Obligor Percentages of the Group C Obligors, (c) the sum of the two (2) largest Obligor Percentages of the Group B Obligors and (d) the largest Obligor Percentage of the Group A Obligors; at such time; </w:t>
      </w:r>
      <w:r>
        <w:rPr>
          <w:rFonts w:ascii="Times New Roman" w:hAnsi="Times New Roman"/>
          <w:sz w:val="20"/>
          <w:u w:val="single"/>
        </w:rPr>
        <w:t>provided</w:t>
      </w:r>
      <w:r>
        <w:rPr>
          <w:rFonts w:ascii="Times New Roman" w:hAnsi="Times New Roman"/>
          <w:sz w:val="20"/>
        </w:rPr>
        <w:t xml:space="preserve">, that, for purposes of determining the Concentration Reserve Percentage, with respect to any Eligible Receivable that is an Insured Receivable, the “Obligor” thereof (including for purposes of determining such Obligor’s Obligor Percentage and status as a Group A Obligor, Group B Obligor, Group C Obligor or Group D Obligor) shall be deemed to be (x) with respect to the Insured Amount of the Outstanding Balance of such Insured Receivable, the related Eligible Credit Insurance Provider and (y) with respect to the remaining Outstanding Balance, if any, the Obligor of such Insured Receivable. </w:t>
      </w:r>
    </w:p>
    <w:p>
      <w:pPr>
        <w:pStyle w:val="TextBody"/>
        <w:bidi w:val="0"/>
        <w:spacing w:before="240" w:after="0"/>
        <w:jc w:val="left"/>
        <w:rPr/>
      </w:pPr>
      <w:r>
        <w:rPr/>
        <w:t>“</w:t>
      </w:r>
      <w:r>
        <w:rPr>
          <w:rFonts w:ascii="Times New Roman" w:hAnsi="Times New Roman"/>
          <w:sz w:val="20"/>
          <w:u w:val="single"/>
        </w:rPr>
        <w:t>Conforming Changes</w:t>
      </w:r>
      <w:r>
        <w:rPr>
          <w:rFonts w:ascii="Times New Roman" w:hAnsi="Times New Roman"/>
          <w:sz w:val="20"/>
        </w:rPr>
        <w:t xml:space="preserve">” means, with respect to Daily 1M SOFR, the Term SOFR Rate or any Benchmark Replacement,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Daily 1M SOFR, the Term SOFR Rate or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Daily 1M SOFR, the Term SOFR Rate or the Benchmark Replacement exists, in such other manner of administration as the Administrative Agent decides is reasonably necessary in connection with the administration of this Agreement and the other Transaction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Connection Income Taxes</w:t>
      </w:r>
      <w:r>
        <w:rPr>
          <w:rFonts w:ascii="Times New Roman" w:hAnsi="Times New Roman"/>
          <w:sz w:val="20"/>
        </w:rPr>
        <w:t xml:space="preserve">” means Other Connection Taxes that are imposed on or measured by net income (however denominated) or that are franchise Taxes or branch profits Taxes. </w:t>
      </w:r>
    </w:p>
    <w:p>
      <w:pPr>
        <w:pStyle w:val="TextBody"/>
        <w:bidi w:val="0"/>
        <w:spacing w:before="240" w:after="0"/>
        <w:jc w:val="left"/>
        <w:rPr/>
      </w:pPr>
      <w:r>
        <w:rPr/>
        <w:t>“</w:t>
      </w:r>
      <w:r>
        <w:rPr>
          <w:rFonts w:ascii="Times New Roman" w:hAnsi="Times New Roman"/>
          <w:sz w:val="20"/>
          <w:u w:val="single"/>
        </w:rPr>
        <w:t>Consolidated EBITDA</w:t>
      </w:r>
      <w:r>
        <w:rPr>
          <w:rFonts w:ascii="Times New Roman" w:hAnsi="Times New Roman"/>
          <w:sz w:val="20"/>
        </w:rPr>
        <w:t xml:space="preserve">” has the meaning assigned thereto in the Credit Agreement as in effect on the Closing Date and without giving effect to any subsequent amendments thereto. Any capitalized terms used within such defined term and its components shall have the meaning assigned thereto in the Credit Agreement as in effect on the Closing Date and without giving effect to any subsequent amendments thereto. </w:t>
      </w:r>
    </w:p>
    <w:p>
      <w:pPr>
        <w:pStyle w:val="TextBody"/>
        <w:bidi w:val="0"/>
        <w:spacing w:before="240" w:after="0"/>
        <w:jc w:val="left"/>
        <w:rPr/>
      </w:pPr>
      <w:r>
        <w:rPr/>
        <w:t>“</w:t>
      </w:r>
      <w:r>
        <w:rPr>
          <w:rFonts w:ascii="Times New Roman" w:hAnsi="Times New Roman"/>
          <w:sz w:val="20"/>
          <w:u w:val="single"/>
        </w:rPr>
        <w:t>Consolidated Total Indebtedness</w:t>
      </w:r>
      <w:r>
        <w:rPr>
          <w:rFonts w:ascii="Times New Roman" w:hAnsi="Times New Roman"/>
          <w:sz w:val="20"/>
        </w:rPr>
        <w:t xml:space="preserve">” has the meaning assigned thereto in the Credit Agreement, as in effect on the Closing Date and without giving effect to any subsequent amendments thereto; </w:t>
      </w:r>
      <w:r>
        <w:rPr>
          <w:rFonts w:ascii="Times New Roman" w:hAnsi="Times New Roman"/>
          <w:sz w:val="20"/>
          <w:u w:val="single"/>
        </w:rPr>
        <w:t>provided</w:t>
      </w:r>
      <w:r>
        <w:rPr>
          <w:rFonts w:ascii="Times New Roman" w:hAnsi="Times New Roman"/>
          <w:sz w:val="20"/>
        </w:rPr>
        <w:t xml:space="preserve"> that for purposes of determining the Consolidated Total Indebtedness for this Agreement, clause (b) of such term shall be disregarded. Any capitalized terms used within such defined term and its components shall have the meaning assigned thereto in the Credit Agreement as in effect on the Closing Date and without giving effect to any subsequent amendments thereto. </w:t>
      </w:r>
    </w:p>
    <w:p>
      <w:pPr>
        <w:pStyle w:val="TextBody"/>
        <w:bidi w:val="0"/>
        <w:spacing w:before="240" w:after="0"/>
        <w:jc w:val="left"/>
        <w:rPr/>
      </w:pPr>
      <w:r>
        <w:rPr/>
        <w:t>“</w:t>
      </w:r>
      <w:r>
        <w:rPr>
          <w:rFonts w:ascii="Times New Roman" w:hAnsi="Times New Roman"/>
          <w:sz w:val="20"/>
          <w:u w:val="single"/>
        </w:rPr>
        <w:t>Continuing Director</w:t>
      </w:r>
      <w:r>
        <w:rPr>
          <w:rFonts w:ascii="Times New Roman" w:hAnsi="Times New Roman"/>
          <w:sz w:val="20"/>
        </w:rPr>
        <w:t xml:space="preserve">” means, at any date, any individual (a) who is a director of Parent on the Closing Date or (b) whose nomination for election to the board of directors of Parent is recommended by a majority of the then Continuing Directors. </w:t>
      </w:r>
    </w:p>
    <w:p>
      <w:pPr>
        <w:pStyle w:val="TextBody"/>
        <w:bidi w:val="0"/>
        <w:spacing w:before="240" w:after="0"/>
        <w:jc w:val="left"/>
        <w:rPr/>
      </w:pPr>
      <w:r>
        <w:rPr/>
        <w:t>“</w:t>
      </w:r>
      <w:r>
        <w:rPr>
          <w:rFonts w:ascii="Times New Roman" w:hAnsi="Times New Roman"/>
          <w:sz w:val="20"/>
          <w:u w:val="single"/>
        </w:rPr>
        <w:t>Contract</w:t>
      </w:r>
      <w:r>
        <w:rPr>
          <w:rFonts w:ascii="Times New Roman" w:hAnsi="Times New Roman"/>
          <w:sz w:val="20"/>
        </w:rPr>
        <w:t xml:space="preserve">” means, with respect to any Receivable, any and all contracts, instruments, agreements, leases, invoices, notes or other writings pursuant to which such Receivable arises or that evidence such Receivable or under which an Obligor becomes or is obligated to make payment in respect of such Receivable. </w:t>
      </w:r>
    </w:p>
    <w:p>
      <w:pPr>
        <w:pStyle w:val="TextBody"/>
        <w:bidi w:val="0"/>
        <w:spacing w:before="240" w:after="0"/>
        <w:jc w:val="left"/>
        <w:rPr/>
      </w:pPr>
      <w:r>
        <w:rPr/>
        <w:t>“</w:t>
      </w:r>
      <w:r>
        <w:rPr>
          <w:rFonts w:ascii="Times New Roman" w:hAnsi="Times New Roman"/>
          <w:sz w:val="20"/>
          <w:u w:val="single"/>
        </w:rPr>
        <w:t>Control</w:t>
      </w:r>
      <w:r>
        <w:rPr>
          <w:rFonts w:ascii="Times New Roman" w:hAnsi="Times New Roman"/>
          <w:sz w:val="20"/>
        </w:rPr>
        <w:t>” means the possession, directly or indirectly, of the power to direct or cause the direction of the management or policies of a Person, whether through the ability to exercise voting power, by contract or otherwise. “</w:t>
      </w:r>
      <w:r>
        <w:rPr>
          <w:rFonts w:ascii="Times New Roman" w:hAnsi="Times New Roman"/>
          <w:sz w:val="20"/>
          <w:u w:val="single"/>
        </w:rPr>
        <w:t>Controlling</w:t>
      </w:r>
      <w:r>
        <w:rPr>
          <w:rFonts w:ascii="Times New Roman" w:hAnsi="Times New Roman"/>
          <w:sz w:val="20"/>
        </w:rPr>
        <w:t>” and “</w:t>
      </w:r>
      <w:r>
        <w:rPr>
          <w:rFonts w:ascii="Times New Roman" w:hAnsi="Times New Roman"/>
          <w:sz w:val="20"/>
          <w:u w:val="single"/>
        </w:rPr>
        <w:t>Controlled</w:t>
      </w:r>
      <w:r>
        <w:rPr>
          <w:rFonts w:ascii="Times New Roman" w:hAnsi="Times New Roman"/>
          <w:sz w:val="20"/>
        </w:rPr>
        <w:t xml:space="preserve">” have meanings correlative thereto. </w:t>
      </w:r>
    </w:p>
    <w:p>
      <w:pPr>
        <w:pStyle w:val="TextBody"/>
        <w:bidi w:val="0"/>
        <w:spacing w:before="240" w:after="0"/>
        <w:jc w:val="left"/>
        <w:rPr/>
      </w:pPr>
      <w:r>
        <w:rPr/>
        <w:t>“</w:t>
      </w:r>
      <w:r>
        <w:rPr>
          <w:rFonts w:ascii="Times New Roman" w:hAnsi="Times New Roman"/>
          <w:sz w:val="20"/>
          <w:u w:val="single"/>
        </w:rPr>
        <w:t>Covered Entity</w:t>
      </w:r>
      <w:r>
        <w:rPr>
          <w:rFonts w:ascii="Times New Roman" w:hAnsi="Times New Roman"/>
          <w:sz w:val="20"/>
        </w:rPr>
        <w:t xml:space="preserve">” means (a) each Borrower-Related Party and its respective Subsidiaries, and (b) each Person that, directly or indirectly, controls a Person described in </w:t>
      </w:r>
      <w:r>
        <w:rPr>
          <w:rFonts w:ascii="Times New Roman" w:hAnsi="Times New Roman"/>
          <w:sz w:val="20"/>
          <w:u w:val="single"/>
        </w:rPr>
        <w:t>clause (a)</w:t>
      </w:r>
      <w:r>
        <w:rPr>
          <w:rFonts w:ascii="Times New Roman" w:hAnsi="Times New Roman"/>
          <w:sz w:val="20"/>
        </w:rPr>
        <w:t xml:space="preserve"> above. For purposes of this definition, control of a Person means the direct or indirect (x) ownership of, or power to vote, 25% or more of the issued and outstanding equity interests having ordinary voting power for the election of directors of such Person or other Persons performing similar functions for such Person, or (y) power to direct or cause the direction of the management and policies of such Person whether by ownership of equity interests, contract or otherwise. </w:t>
      </w:r>
    </w:p>
    <w:p>
      <w:pPr>
        <w:pStyle w:val="TextBody"/>
        <w:bidi w:val="0"/>
        <w:spacing w:before="240" w:after="0"/>
        <w:jc w:val="left"/>
        <w:rPr/>
      </w:pPr>
      <w:r>
        <w:rPr/>
        <w:t>“</w:t>
      </w:r>
      <w:r>
        <w:rPr>
          <w:rFonts w:ascii="Times New Roman" w:hAnsi="Times New Roman"/>
          <w:sz w:val="20"/>
          <w:u w:val="single"/>
        </w:rPr>
        <w:t>Credit Agreement</w:t>
      </w:r>
      <w:r>
        <w:rPr>
          <w:rFonts w:ascii="Times New Roman" w:hAnsi="Times New Roman"/>
          <w:sz w:val="20"/>
        </w:rPr>
        <w:t xml:space="preserve">” means the Amended and Restated Credit Agreement, dated as of February 19, 2013, among Sabre GLBL Inc., as borrower, Sabre Holdings Corporation, as holdings, Bank of America N.A., as administrative agent, and the lenders from time to time party thereto. </w:t>
      </w:r>
    </w:p>
    <w:p>
      <w:pPr>
        <w:pStyle w:val="TextBody"/>
        <w:bidi w:val="0"/>
        <w:spacing w:before="240" w:after="0"/>
        <w:jc w:val="left"/>
        <w:rPr/>
      </w:pPr>
      <w:r>
        <w:rPr/>
        <w:t>“</w:t>
      </w:r>
      <w:r>
        <w:rPr>
          <w:rFonts w:ascii="Times New Roman" w:hAnsi="Times New Roman"/>
          <w:sz w:val="20"/>
          <w:u w:val="single"/>
        </w:rPr>
        <w:t>Credit and Collection Policy</w:t>
      </w:r>
      <w:r>
        <w:rPr>
          <w:rFonts w:ascii="Times New Roman" w:hAnsi="Times New Roman"/>
          <w:sz w:val="20"/>
        </w:rPr>
        <w:t xml:space="preserve">” means the receivables credit and collection materials and practices of the Borrower-Related Parties provided as of the Closing Date and described in </w:t>
      </w:r>
      <w:r>
        <w:rPr>
          <w:rFonts w:ascii="Times New Roman" w:hAnsi="Times New Roman"/>
          <w:sz w:val="20"/>
          <w:u w:val="single"/>
        </w:rPr>
        <w:t>Exhibit D</w:t>
      </w:r>
      <w:r>
        <w:rPr>
          <w:rFonts w:ascii="Times New Roman" w:hAnsi="Times New Roman"/>
          <w:sz w:val="20"/>
        </w:rPr>
        <w:t xml:space="preserve">, as modified in compliance with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Credit Extension</w:t>
      </w:r>
      <w:r>
        <w:rPr>
          <w:rFonts w:ascii="Times New Roman" w:hAnsi="Times New Roman"/>
          <w:sz w:val="20"/>
        </w:rPr>
        <w:t xml:space="preserve">” means the making of any Loan. </w:t>
      </w:r>
    </w:p>
    <w:p>
      <w:pPr>
        <w:pStyle w:val="TextBody"/>
        <w:bidi w:val="0"/>
        <w:spacing w:before="240" w:after="0"/>
        <w:jc w:val="left"/>
        <w:rPr/>
      </w:pPr>
      <w:r>
        <w:rPr/>
        <w:t>“</w:t>
      </w:r>
      <w:r>
        <w:rPr>
          <w:rFonts w:ascii="Times New Roman" w:hAnsi="Times New Roman"/>
          <w:sz w:val="20"/>
          <w:u w:val="single"/>
        </w:rPr>
        <w:t>Credit Party</w:t>
      </w:r>
      <w:r>
        <w:rPr>
          <w:rFonts w:ascii="Times New Roman" w:hAnsi="Times New Roman"/>
          <w:sz w:val="20"/>
        </w:rPr>
        <w:t xml:space="preserve">” means each Lender, the Structuring Agent and the Administrative Agent. </w:t>
      </w:r>
    </w:p>
    <w:p>
      <w:pPr>
        <w:pStyle w:val="TextBody"/>
        <w:bidi w:val="0"/>
        <w:spacing w:before="240" w:after="0"/>
        <w:jc w:val="left"/>
        <w:rPr/>
      </w:pPr>
      <w:r>
        <w:rPr/>
        <w:t>“</w:t>
      </w:r>
      <w:r>
        <w:rPr>
          <w:rFonts w:ascii="Times New Roman" w:hAnsi="Times New Roman"/>
          <w:sz w:val="20"/>
          <w:u w:val="single"/>
        </w:rPr>
        <w:t>Credit Insurance Policy</w:t>
      </w:r>
      <w:r>
        <w:rPr>
          <w:rFonts w:ascii="Times New Roman" w:hAnsi="Times New Roman"/>
          <w:sz w:val="20"/>
        </w:rPr>
        <w:t xml:space="preserve">” means a credit insurance policy naming the Borrower as insured, which policy insures the payment of Pool Receivables owing by one or more Obligors. </w:t>
      </w:r>
    </w:p>
    <w:p>
      <w:pPr>
        <w:pStyle w:val="TextBody"/>
        <w:bidi w:val="0"/>
        <w:spacing w:before="240" w:after="0"/>
        <w:jc w:val="left"/>
        <w:rPr/>
      </w:pPr>
      <w:r>
        <w:rPr/>
        <w:t>“</w:t>
      </w:r>
      <w:r>
        <w:rPr>
          <w:rFonts w:ascii="Times New Roman" w:hAnsi="Times New Roman"/>
          <w:sz w:val="20"/>
          <w:u w:val="single"/>
        </w:rPr>
        <w:t>Credit Insurer</w:t>
      </w:r>
      <w:r>
        <w:rPr>
          <w:rFonts w:ascii="Times New Roman" w:hAnsi="Times New Roman"/>
          <w:sz w:val="20"/>
        </w:rPr>
        <w:t xml:space="preserve">” means each insurance company that provides a Credit Insurance Policy to the Borrower. </w:t>
      </w:r>
    </w:p>
    <w:p>
      <w:pPr>
        <w:pStyle w:val="TextBody"/>
        <w:bidi w:val="0"/>
        <w:spacing w:before="240" w:after="0"/>
        <w:jc w:val="left"/>
        <w:rPr/>
      </w:pPr>
      <w:r>
        <w:rPr/>
        <w:t>“</w:t>
      </w:r>
      <w:r>
        <w:rPr>
          <w:rFonts w:ascii="Times New Roman" w:hAnsi="Times New Roman"/>
          <w:sz w:val="20"/>
          <w:u w:val="single"/>
        </w:rPr>
        <w:t>Daily 1M SOFR</w:t>
      </w:r>
      <w:r>
        <w:rPr>
          <w:rFonts w:ascii="Times New Roman" w:hAnsi="Times New Roman"/>
          <w:sz w:val="20"/>
        </w:rPr>
        <w:t xml:space="preserve">” means, for any day, the rate per annum determined by the Administrative Agent by dividing (the resulting quotient rounded upwards, at the Administrative Agent’s discretion, to the nearest 1/100th of 1%) (a) the Term SOFR Reference Rate for such day for a one (1) month period, as published by the Term SOFR Administrator, by (b) a number equal to 1.00 minus the SOFR Reserve Percentage; </w:t>
      </w:r>
      <w:r>
        <w:rPr>
          <w:rFonts w:ascii="Times New Roman" w:hAnsi="Times New Roman"/>
          <w:sz w:val="20"/>
          <w:u w:val="single"/>
        </w:rPr>
        <w:t>provided</w:t>
      </w:r>
      <w:r>
        <w:rPr>
          <w:rFonts w:ascii="Times New Roman" w:hAnsi="Times New Roman"/>
          <w:sz w:val="20"/>
        </w:rPr>
        <w:t xml:space="preserve">, that if Daily 1M SOFR, determined as provided above, would be less than the SOFR Floor, then Daily 1M SOFR shall be deemed to be the SOFR Floor. Such rate of interest will be adjusted automatically as of each Business Day based on changes in Daily 1M SOFR without notice to the Borrower. </w:t>
      </w:r>
    </w:p>
    <w:p>
      <w:pPr>
        <w:pStyle w:val="TextBody"/>
        <w:bidi w:val="0"/>
        <w:spacing w:before="240" w:after="0"/>
        <w:jc w:val="left"/>
        <w:rPr/>
      </w:pPr>
      <w:r>
        <w:rPr/>
        <w:t>“</w:t>
      </w:r>
      <w:r>
        <w:rPr>
          <w:rFonts w:ascii="Times New Roman" w:hAnsi="Times New Roman"/>
          <w:sz w:val="20"/>
          <w:u w:val="single"/>
        </w:rPr>
        <w:t>Daily Report</w:t>
      </w:r>
      <w:r>
        <w:rPr>
          <w:rFonts w:ascii="Times New Roman" w:hAnsi="Times New Roman"/>
          <w:sz w:val="20"/>
        </w:rPr>
        <w:t xml:space="preserve">” means a report regarding the Pool Receivables and the transactions contemplated hereby, substantially in the form of </w:t>
      </w:r>
      <w:r>
        <w:rPr>
          <w:rFonts w:ascii="Times New Roman" w:hAnsi="Times New Roman"/>
          <w:sz w:val="20"/>
          <w:u w:val="single"/>
        </w:rPr>
        <w:t>Exhibit E-3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Daily Reporting Date</w:t>
      </w:r>
      <w:r>
        <w:rPr>
          <w:rFonts w:ascii="Times New Roman" w:hAnsi="Times New Roman"/>
          <w:sz w:val="20"/>
        </w:rPr>
        <w:t xml:space="preserve">” means each Business Day occurring during a Daily Reporting Period. </w:t>
      </w:r>
    </w:p>
    <w:p>
      <w:pPr>
        <w:pStyle w:val="TextBody"/>
        <w:bidi w:val="0"/>
        <w:spacing w:before="240" w:after="0"/>
        <w:jc w:val="left"/>
        <w:rPr/>
      </w:pPr>
      <w:r>
        <w:rPr/>
        <w:t>“</w:t>
      </w:r>
      <w:r>
        <w:rPr>
          <w:rFonts w:ascii="Times New Roman" w:hAnsi="Times New Roman"/>
          <w:sz w:val="20"/>
          <w:u w:val="single"/>
        </w:rPr>
        <w:t>Daily Reporting Period</w:t>
      </w:r>
      <w:r>
        <w:rPr>
          <w:rFonts w:ascii="Times New Roman" w:hAnsi="Times New Roman"/>
          <w:sz w:val="20"/>
        </w:rPr>
        <w:t xml:space="preserve">” means the period (i) beginning on the fifth (5th) Business Day after the date, if any, on which the Administrative Agent delivers a notice in writing to the Servicers that it is then requiring the delivery of Daily Reports hereunder and (ii) ending on the date on which the Administrative Agent (acting in its sole discretion) delivers a notice in writing to the Servicer that it is no longer requiring the delivery of Daily Reports. As of the Closing Date, a Daily Reporting Period is not continuing. </w:t>
      </w:r>
    </w:p>
    <w:p>
      <w:pPr>
        <w:pStyle w:val="TextBody"/>
        <w:bidi w:val="0"/>
        <w:spacing w:before="240" w:after="0"/>
        <w:jc w:val="left"/>
        <w:rPr/>
      </w:pPr>
      <w:r>
        <w:rPr/>
        <w:t>“</w:t>
      </w:r>
      <w:r>
        <w:rPr>
          <w:rFonts w:ascii="Times New Roman" w:hAnsi="Times New Roman"/>
          <w:sz w:val="20"/>
          <w:u w:val="single"/>
        </w:rPr>
        <w:t>Daily Simple SOFR</w:t>
      </w:r>
      <w:r>
        <w:rPr>
          <w:rFonts w:ascii="Times New Roman" w:hAnsi="Times New Roman"/>
          <w:sz w:val="20"/>
        </w:rPr>
        <w:t>” means, for any day (a “</w:t>
      </w:r>
      <w:r>
        <w:rPr>
          <w:rFonts w:ascii="Times New Roman" w:hAnsi="Times New Roman"/>
          <w:sz w:val="20"/>
          <w:u w:val="single"/>
        </w:rPr>
        <w:t>SOFR Rate Day</w:t>
      </w:r>
      <w:r>
        <w:rPr>
          <w:rFonts w:ascii="Times New Roman" w:hAnsi="Times New Roman"/>
          <w:sz w:val="20"/>
        </w:rPr>
        <w:t>”), the interest rate per annum determined by the Administrative Agent by dividing (the resulting quotient rounded upwards, at the Administrative Agent’s discretion, to the nearest 1/100th of 1%) (A) SOFR for the day (the “</w:t>
      </w:r>
      <w:r>
        <w:rPr>
          <w:rFonts w:ascii="Times New Roman" w:hAnsi="Times New Roman"/>
          <w:sz w:val="20"/>
          <w:u w:val="single"/>
        </w:rPr>
        <w:t>SOFR Determination Date</w:t>
      </w:r>
      <w:r>
        <w:rPr>
          <w:rFonts w:ascii="Times New Roman" w:hAnsi="Times New Roman"/>
          <w:sz w:val="20"/>
        </w:rPr>
        <w:t xml:space="preserve">”) that is 2 Business Days prior to (i) such SOFR Rate Day if such SOFR Rate Day is a Business Day or (ii) the Business Day immediately preceding such SOFR Rate Day if such SOFR Rate Day is not a Business Day, by (B) a number equal to 1.00 minus the SOFR Reserve Percentage, in each case, as such SOFR is published by the Federal Reserve Bank of New York (or a successor administrator of the secured overnight financing rate) on the website of the Federal Reserve Bank of New York, currently at http://www.newyorkfed.org, or any successor source identified by the Federal Reserve Bank of New York or its successor administrator for the secured overnight financing rate from time to time. If Daily Simple SOFR as determined above would be less than the SOFR Floor, then Daily Simple SOFR shall be deemed to be the SOFR Floor. If SOFR for any SOFR Determination Date has not been published or replaced with a Benchmark Replacement by 5:00 p.m. (Pittsburgh, Pennsylvania time) on the second Business Day immediately following such SOFR Determination Date, then SOFR for such SOFR Determination Date will be SOFR for the first Business Day preceding such SOFR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Determination Date for which SOFR was published in accordance with the definition of “SOFR”; </w:t>
      </w:r>
      <w:r>
        <w:rPr>
          <w:rFonts w:ascii="Times New Roman" w:hAnsi="Times New Roman"/>
          <w:sz w:val="20"/>
          <w:u w:val="single"/>
        </w:rPr>
        <w:t>provided</w:t>
      </w:r>
      <w:r>
        <w:rPr>
          <w:rFonts w:ascii="Times New Roman" w:hAnsi="Times New Roman"/>
          <w:sz w:val="20"/>
        </w:rPr>
        <w:t xml:space="preserve"> that SOFR determined pursuant to this sentence shall be used for purposes of calculating Daily Simple SOFR for no more than 3 consecutive SOFR Rate Days. If and when Daily Simple SOFR as determined above changes, any applicable rate of interest based on Daily Simple SOFR will change automatically without notice to the Borrower, effective on the date of any such change. </w:t>
      </w:r>
    </w:p>
    <w:p>
      <w:pPr>
        <w:pStyle w:val="TextBody"/>
        <w:bidi w:val="0"/>
        <w:spacing w:before="240" w:after="0"/>
        <w:jc w:val="left"/>
        <w:rPr/>
      </w:pPr>
      <w:r>
        <w:rPr/>
        <w:t>“</w:t>
      </w:r>
      <w:r>
        <w:rPr>
          <w:rFonts w:ascii="Times New Roman" w:hAnsi="Times New Roman"/>
          <w:sz w:val="20"/>
          <w:u w:val="single"/>
        </w:rPr>
        <w:t>Days’ Sales Outstanding</w:t>
      </w:r>
      <w:r>
        <w:rPr>
          <w:rFonts w:ascii="Times New Roman" w:hAnsi="Times New Roman"/>
          <w:sz w:val="20"/>
        </w:rPr>
        <w:t xml:space="preserve">” means, for any Fiscal Month, an amount computed as of the last day of such Fiscal Month equal to: (a) the average of the aggregate Outstanding Balance of all Pool Receivables (other than Unbilled Receivables) as of the last day of each of the three most recent Fiscal Months ended on the last day of such Fiscal Month, </w:t>
      </w:r>
      <w:r>
        <w:rPr>
          <w:rFonts w:ascii="Times New Roman" w:hAnsi="Times New Roman"/>
          <w:sz w:val="20"/>
          <w:u w:val="single"/>
        </w:rPr>
        <w:t>divided</w:t>
      </w:r>
      <w:r>
        <w:rPr>
          <w:rFonts w:ascii="Times New Roman" w:hAnsi="Times New Roman"/>
          <w:sz w:val="20"/>
        </w:rPr>
        <w:t xml:space="preserve"> </w:t>
      </w:r>
      <w:r>
        <w:rPr>
          <w:rFonts w:ascii="Times New Roman" w:hAnsi="Times New Roman"/>
          <w:sz w:val="20"/>
          <w:u w:val="single"/>
        </w:rPr>
        <w:t>by</w:t>
      </w:r>
      <w:r>
        <w:rPr>
          <w:rFonts w:ascii="Times New Roman" w:hAnsi="Times New Roman"/>
          <w:sz w:val="20"/>
        </w:rPr>
        <w:t xml:space="preserve"> (b) (i) the aggregate initial Outstanding Balance of all Pool Receivables (other than Unbilled Receivables) generated by the Originators during the three most recent Fiscal Months ended on the last day of such Fiscal Month, </w:t>
      </w:r>
      <w:r>
        <w:rPr>
          <w:rFonts w:ascii="Times New Roman" w:hAnsi="Times New Roman"/>
          <w:sz w:val="20"/>
          <w:u w:val="single"/>
        </w:rPr>
        <w:t>divided</w:t>
      </w:r>
      <w:r>
        <w:rPr>
          <w:rFonts w:ascii="Times New Roman" w:hAnsi="Times New Roman"/>
          <w:sz w:val="20"/>
        </w:rPr>
        <w:t xml:space="preserve"> </w:t>
      </w:r>
      <w:r>
        <w:rPr>
          <w:rFonts w:ascii="Times New Roman" w:hAnsi="Times New Roman"/>
          <w:sz w:val="20"/>
          <w:u w:val="single"/>
        </w:rPr>
        <w:t>by</w:t>
      </w:r>
      <w:r>
        <w:rPr>
          <w:rFonts w:ascii="Times New Roman" w:hAnsi="Times New Roman"/>
          <w:sz w:val="20"/>
        </w:rPr>
        <w:t xml:space="preserve"> (ii) 90. </w:t>
      </w:r>
    </w:p>
    <w:p>
      <w:pPr>
        <w:pStyle w:val="TextBody"/>
        <w:bidi w:val="0"/>
        <w:spacing w:before="240" w:after="0"/>
        <w:jc w:val="left"/>
        <w:rPr/>
      </w:pPr>
      <w:r>
        <w:rPr/>
        <w:t>“</w:t>
      </w:r>
      <w:r>
        <w:rPr>
          <w:rFonts w:ascii="Times New Roman" w:hAnsi="Times New Roman"/>
          <w:sz w:val="20"/>
          <w:u w:val="single"/>
        </w:rPr>
        <w:t>Debtor Relief Laws</w:t>
      </w:r>
      <w:r>
        <w:rPr>
          <w:rFonts w:ascii="Times New Roman" w:hAnsi="Times New Roman"/>
          <w:sz w:val="20"/>
        </w:rPr>
        <w:t>” means the Bankruptcy Code</w:t>
      </w:r>
      <w:r>
        <w:rPr>
          <w:rFonts w:ascii="Times New Roman" w:hAnsi="Times New Roman"/>
          <w:color w:val="0000FF"/>
          <w:sz w:val="20"/>
          <w:u w:val="single"/>
          <w:bdr w:val="double" w:sz="2" w:space="1" w:color="000000"/>
        </w:rPr>
        <w:t>, the UK Insolvency Act, the Insolvency, Restructuring and Dissolution Act 2018 of Singapore,</w:t>
      </w:r>
      <w:r>
        <w:rPr>
          <w:rFonts w:ascii="Times New Roman" w:hAnsi="Times New Roman"/>
          <w:sz w:val="20"/>
        </w:rPr>
        <w:t xml:space="preserve"> and all other liquidation, conservatorship, bankruptcy, assignment for the benefit of creditors, moratorium, </w:t>
      </w:r>
      <w:r>
        <w:rPr>
          <w:rFonts w:ascii="Times New Roman" w:hAnsi="Times New Roman"/>
          <w:color w:val="0000FF"/>
          <w:sz w:val="20"/>
          <w:u w:val="single"/>
          <w:bdr w:val="double" w:sz="2" w:space="1" w:color="000000"/>
        </w:rPr>
        <w:t xml:space="preserve">judicial management, liquidation, winding-up, </w:t>
      </w:r>
      <w:r>
        <w:rPr>
          <w:rFonts w:ascii="Times New Roman" w:hAnsi="Times New Roman"/>
          <w:sz w:val="20"/>
        </w:rPr>
        <w:t>rearrangement, receivership, insolvency, reorganization</w:t>
      </w:r>
      <w:r>
        <w:rPr>
          <w:rFonts w:ascii="Times New Roman" w:hAnsi="Times New Roman"/>
          <w:color w:val="0000FF"/>
          <w:sz w:val="20"/>
          <w:u w:val="single"/>
          <w:bdr w:val="double" w:sz="2" w:space="1" w:color="000000"/>
        </w:rPr>
        <w:t xml:space="preserve"> (by way of voluntary arrangement, scheme of arrangement or otherwise)</w:t>
      </w:r>
      <w:r>
        <w:rPr>
          <w:rFonts w:ascii="Times New Roman" w:hAnsi="Times New Roman"/>
          <w:sz w:val="20"/>
        </w:rPr>
        <w:t>, or similar debtor relief Laws of the United States</w:t>
      </w:r>
      <w:r>
        <w:rPr>
          <w:rFonts w:ascii="Times New Roman" w:hAnsi="Times New Roman"/>
          <w:color w:val="0000FF"/>
          <w:sz w:val="20"/>
          <w:u w:val="single"/>
          <w:bdr w:val="double" w:sz="2" w:space="1" w:color="000000"/>
        </w:rPr>
        <w:t>, the United Kingdom, Singapore</w:t>
      </w:r>
      <w:r>
        <w:rPr>
          <w:rFonts w:ascii="Times New Roman" w:hAnsi="Times New Roman"/>
          <w:sz w:val="20"/>
        </w:rPr>
        <w:t xml:space="preserve"> or other applicable jurisdictions from time to time in effect. </w:t>
      </w:r>
    </w:p>
    <w:p>
      <w:pPr>
        <w:pStyle w:val="TextBody"/>
        <w:bidi w:val="0"/>
        <w:spacing w:before="240" w:after="0"/>
        <w:jc w:val="left"/>
        <w:rPr/>
      </w:pPr>
      <w:r>
        <w:rPr/>
        <w:t>“</w:t>
      </w:r>
      <w:r>
        <w:rPr>
          <w:rFonts w:ascii="Times New Roman" w:hAnsi="Times New Roman"/>
          <w:sz w:val="20"/>
          <w:u w:val="single"/>
        </w:rPr>
        <w:t>Deemed Collections</w:t>
      </w:r>
      <w:r>
        <w:rPr>
          <w:rFonts w:ascii="Times New Roman" w:hAnsi="Times New Roman"/>
          <w:sz w:val="20"/>
        </w:rPr>
        <w:t xml:space="preserve">” has the meaning set forth in </w:t>
      </w:r>
      <w:r>
        <w:rPr>
          <w:rFonts w:ascii="Times New Roman" w:hAnsi="Times New Roman"/>
          <w:sz w:val="20"/>
          <w:u w:val="single"/>
        </w:rPr>
        <w:t>Section 3.01(d)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Default Ratio</w:t>
      </w:r>
      <w:r>
        <w:rPr>
          <w:rFonts w:ascii="Times New Roman" w:hAnsi="Times New Roman"/>
          <w:sz w:val="20"/>
        </w:rPr>
        <w:t xml:space="preserve">” means the ratio (expressed as a percentage and rounded to the nearest 1/100th of 1%, with 5/1000th of 1% rounded upward) computed as of the last day of each Fiscal Month by </w:t>
      </w:r>
      <w:r>
        <w:rPr>
          <w:rFonts w:ascii="Times New Roman" w:hAnsi="Times New Roman"/>
          <w:sz w:val="20"/>
          <w:u w:val="single"/>
        </w:rPr>
        <w:t>dividing</w:t>
      </w:r>
      <w:r>
        <w:rPr>
          <w:rFonts w:ascii="Times New Roman" w:hAnsi="Times New Roman"/>
          <w:sz w:val="20"/>
        </w:rPr>
        <w:t xml:space="preserve">: (a) the aggregate Outstanding Balance of all Pool Receivables that became Defaulted Receivables during such Fiscal Month, </w:t>
      </w:r>
      <w:r>
        <w:rPr>
          <w:rFonts w:ascii="Times New Roman" w:hAnsi="Times New Roman"/>
          <w:sz w:val="20"/>
          <w:u w:val="single"/>
        </w:rPr>
        <w:t>by</w:t>
      </w:r>
      <w:r>
        <w:rPr>
          <w:rFonts w:ascii="Times New Roman" w:hAnsi="Times New Roman"/>
          <w:sz w:val="20"/>
        </w:rPr>
        <w:t xml:space="preserve"> (b) the aggregate initial Outstanding Balance of all Pool Receivables (other than Unbilled Receivables) generated by the Originators during the month that is ten (10) Fiscal Months before such Fiscal Month. </w:t>
      </w:r>
    </w:p>
    <w:p>
      <w:pPr>
        <w:pStyle w:val="TextBody"/>
        <w:bidi w:val="0"/>
        <w:spacing w:before="240" w:after="0"/>
        <w:jc w:val="left"/>
        <w:rPr/>
      </w:pPr>
      <w:r>
        <w:rPr/>
        <w:t>“</w:t>
      </w:r>
      <w:r>
        <w:rPr>
          <w:rFonts w:ascii="Times New Roman" w:hAnsi="Times New Roman"/>
          <w:sz w:val="20"/>
          <w:u w:val="single"/>
        </w:rPr>
        <w:t>Defaulted Receivable</w:t>
      </w:r>
      <w:r>
        <w:rPr>
          <w:rFonts w:ascii="Times New Roman" w:hAnsi="Times New Roman"/>
          <w:sz w:val="20"/>
        </w:rPr>
        <w:t xml:space="preserve">” means a Receivable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(a) as to which any payment, or part thereof, remains unpaid for more than two-seventy-one (271) days from the original due date for such payment; </w:t>
      </w:r>
    </w:p>
    <w:p>
      <w:pPr>
        <w:pStyle w:val="TextBody"/>
        <w:bidi w:val="0"/>
        <w:spacing w:before="240" w:after="0"/>
        <w:jc w:val="left"/>
        <w:rPr>
          <w:rFonts w:ascii="Times New Roman" w:hAnsi="Times New Roman"/>
          <w:sz w:val="20"/>
        </w:rPr>
      </w:pPr>
      <w:r>
        <w:rPr>
          <w:rFonts w:ascii="Times New Roman" w:hAnsi="Times New Roman"/>
          <w:sz w:val="20"/>
        </w:rPr>
        <w:t xml:space="preserve">(b) as to which a Relief Proceeding shall have occurred with respect to the Obligor thereof or any other Person obligated thereon or owning any Related Security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(c) that has been written off the applicable Originator’s or the Borrower’s books as uncollectible; or </w:t>
      </w:r>
    </w:p>
    <w:p>
      <w:pPr>
        <w:pStyle w:val="TextBody"/>
        <w:bidi w:val="0"/>
        <w:spacing w:before="120" w:after="0"/>
        <w:jc w:val="left"/>
        <w:rPr>
          <w:rFonts w:ascii="Times New Roman" w:hAnsi="Times New Roman"/>
          <w:sz w:val="20"/>
        </w:rPr>
      </w:pPr>
      <w:r>
        <w:rPr>
          <w:rFonts w:ascii="Times New Roman" w:hAnsi="Times New Roman"/>
          <w:sz w:val="20"/>
        </w:rPr>
        <w:t xml:space="preserve">(d) that, consistent with the Credit and Collection Policy, should be written off the applicable Originator’s or the Borrower’s books as uncollectible; </w:t>
      </w:r>
    </w:p>
    <w:p>
      <w:pPr>
        <w:pStyle w:val="TextBody"/>
        <w:bidi w:val="0"/>
        <w:spacing w:before="12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each case above such amount shall be calculated without giving effect to any netting of credits that have not been matched to a particular Receivable for the purposes of aged trial balance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Defaulting Class B Lender</w:t>
      </w:r>
      <w:r>
        <w:rPr>
          <w:rFonts w:ascii="Times New Roman" w:hAnsi="Times New Roman"/>
          <w:sz w:val="20"/>
        </w:rPr>
        <w:t xml:space="preserve">” means, at any time, any Class B Lender that is a Defaulting Lender. If any Class B Lender is a Defaulting Class B Lender, any of its Affiliates that are also Class B Lenders shall also constitute Defaulting Class B Lenders for all purposes. For such purpose, any Person for which Centerbridge Credit CS, L.P. acts as investment manager (directly or indirectly) shall constitute an Affiliate of all other such Persons. </w:t>
      </w:r>
    </w:p>
    <w:p>
      <w:pPr>
        <w:pStyle w:val="TextBody"/>
        <w:bidi w:val="0"/>
        <w:spacing w:before="240" w:after="0"/>
        <w:jc w:val="left"/>
        <w:rPr/>
      </w:pPr>
      <w:r>
        <w:rPr/>
        <w:t>“</w:t>
      </w:r>
      <w:r>
        <w:rPr>
          <w:rFonts w:ascii="Times New Roman" w:hAnsi="Times New Roman"/>
          <w:sz w:val="20"/>
          <w:u w:val="single"/>
        </w:rPr>
        <w:t>Defaulting Lender</w:t>
      </w:r>
      <w:r>
        <w:rPr>
          <w:rFonts w:ascii="Times New Roman" w:hAnsi="Times New Roman"/>
          <w:sz w:val="20"/>
        </w:rPr>
        <w:t xml:space="preserve">” means, subject to </w:t>
      </w:r>
      <w:r>
        <w:rPr>
          <w:rFonts w:ascii="Times New Roman" w:hAnsi="Times New Roman"/>
          <w:sz w:val="20"/>
          <w:u w:val="single"/>
        </w:rPr>
        <w:t>Section 2.06(b)</w:t>
      </w:r>
      <w:r>
        <w:rPr>
          <w:rFonts w:ascii="Times New Roman" w:hAnsi="Times New Roman"/>
          <w:sz w:val="20"/>
        </w:rPr>
        <w:t>,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within two Business Days of the date when due, (b) has notified the Borrower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Times New Roman" w:hAnsi="Times New Roman"/>
          <w:sz w:val="20"/>
          <w:u w:val="single"/>
        </w:rPr>
        <w:t>provided</w:t>
      </w:r>
      <w:r>
        <w:rPr>
          <w:rFonts w:ascii="Times New Roman" w:hAnsi="Times New Roman"/>
          <w:sz w:val="20"/>
        </w:rPr>
        <w:t xml:space="preserve"> that such Lender shall cease to be a Defaulting Lender pursuant to this </w:t>
      </w:r>
      <w:r>
        <w:rPr>
          <w:rFonts w:ascii="Times New Roman" w:hAnsi="Times New Roman"/>
          <w:sz w:val="20"/>
          <w:u w:val="single"/>
        </w:rPr>
        <w:t>clause (c)</w:t>
      </w:r>
      <w:r>
        <w:rPr>
          <w:rFonts w:ascii="Times New Roman" w:hAnsi="Times New Roman"/>
          <w:sz w:val="20"/>
        </w:rPr>
        <w:t xml:space="preserve">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hAnsi="Times New Roman"/>
          <w:sz w:val="20"/>
          <w:u w:val="single"/>
        </w:rPr>
        <w:t>provided</w:t>
      </w:r>
      <w:r>
        <w:rPr>
          <w:rFonts w:ascii="Times New Roman" w:hAnsi="Times New Roman"/>
          <w:sz w:val="20"/>
        </w:rPr>
        <w:t xml:space="preserve"> that a Lender shall not be a Defaulting Lender solely by virtue of the ownership or acquisition of any equity interest in that Lender or any direct or indirect parent company thereof by an Official Body so long as such ownership interest does not result in or provide such Lender with immunity from the jurisdiction of courts within the United States or from the enforcement of judgments or writs of attachment on its assets or permit such Lender (or such Official Body) to reject, repudiate, disavow or disaffirm any contracts or agreements made with such Lender. Any determination by the Administrative Agent that a Lender is a Defaulting Lender under any one or more of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(d)</w:t>
      </w:r>
      <w:r>
        <w:rPr>
          <w:rFonts w:ascii="Times New Roman" w:hAnsi="Times New Roman"/>
          <w:sz w:val="20"/>
        </w:rPr>
        <w:t xml:space="preserve"> above shall be conclusive and binding absent manifest error, and such Lender shall be deemed to be a Defaulting Lender (subject to </w:t>
      </w:r>
      <w:r>
        <w:rPr>
          <w:rFonts w:ascii="Times New Roman" w:hAnsi="Times New Roman"/>
          <w:sz w:val="20"/>
          <w:u w:val="single"/>
        </w:rPr>
        <w:t>Section 2.06(b)</w:t>
      </w:r>
      <w:r>
        <w:rPr>
          <w:rFonts w:ascii="Times New Roman" w:hAnsi="Times New Roman"/>
          <w:sz w:val="20"/>
        </w:rPr>
        <w:t xml:space="preserve">) upon delivery of written notice of such determination to the Borrower and each Lender. </w:t>
      </w:r>
    </w:p>
    <w:p>
      <w:pPr>
        <w:pStyle w:val="TextBody"/>
        <w:bidi w:val="0"/>
        <w:spacing w:before="240" w:after="0"/>
        <w:jc w:val="left"/>
        <w:rPr/>
      </w:pPr>
      <w:r>
        <w:rPr/>
        <w:t>“</w:t>
      </w:r>
      <w:r>
        <w:rPr>
          <w:rFonts w:ascii="Times New Roman" w:hAnsi="Times New Roman"/>
          <w:sz w:val="20"/>
          <w:u w:val="single"/>
        </w:rPr>
        <w:t>Delinquency Ratio</w:t>
      </w:r>
      <w:r>
        <w:rPr>
          <w:rFonts w:ascii="Times New Roman" w:hAnsi="Times New Roman"/>
          <w:sz w:val="20"/>
        </w:rPr>
        <w:t xml:space="preserve">” means the ratio (expressed as a percentage and rounded to the nearest 1/100th of 1%, with 5/1000th of 1% rounded upward) computed as of the last day of each Fiscal Month by </w:t>
      </w:r>
      <w:r>
        <w:rPr>
          <w:rFonts w:ascii="Times New Roman" w:hAnsi="Times New Roman"/>
          <w:sz w:val="20"/>
          <w:u w:val="single"/>
        </w:rPr>
        <w:t>dividing</w:t>
      </w:r>
      <w:r>
        <w:rPr>
          <w:rFonts w:ascii="Times New Roman" w:hAnsi="Times New Roman"/>
          <w:sz w:val="20"/>
        </w:rPr>
        <w:t xml:space="preserve">: (a) the aggregate Outstanding Balance of all Pool Receivables that were Delinquent Receivables on such day, </w:t>
      </w:r>
      <w:r>
        <w:rPr>
          <w:rFonts w:ascii="Times New Roman" w:hAnsi="Times New Roman"/>
          <w:sz w:val="20"/>
          <w:u w:val="single"/>
        </w:rPr>
        <w:t>by</w:t>
      </w:r>
      <w:r>
        <w:rPr>
          <w:rFonts w:ascii="Times New Roman" w:hAnsi="Times New Roman"/>
          <w:sz w:val="20"/>
        </w:rPr>
        <w:t xml:space="preserve"> (b) the aggregate Outstanding Balance of all Pool Receivables on such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Delinquent Receivable</w:t>
      </w:r>
      <w:r>
        <w:rPr>
          <w:rFonts w:ascii="Times New Roman" w:hAnsi="Times New Roman"/>
          <w:sz w:val="20"/>
        </w:rPr>
        <w:t xml:space="preserve">” means a Receivable as to which any payment, or part thereof, remains unpaid for more than 90 days from the original due date for such payment;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amount shall be calculated without giving effect to any netting of credits that have not been matched to a particular Receivable for the purposes of aged trial balance reporting. </w:t>
      </w:r>
    </w:p>
    <w:p>
      <w:pPr>
        <w:pStyle w:val="TextBody"/>
        <w:bidi w:val="0"/>
        <w:spacing w:before="240" w:after="0"/>
        <w:jc w:val="left"/>
        <w:rPr/>
      </w:pPr>
      <w:r>
        <w:rPr/>
        <w:t>“</w:t>
      </w:r>
      <w:r>
        <w:rPr>
          <w:rFonts w:ascii="Times New Roman" w:hAnsi="Times New Roman"/>
          <w:sz w:val="20"/>
          <w:u w:val="single"/>
        </w:rPr>
        <w:t>Dilution</w:t>
      </w:r>
      <w:r>
        <w:rPr>
          <w:rFonts w:ascii="Times New Roman" w:hAnsi="Times New Roman"/>
          <w:sz w:val="20"/>
        </w:rPr>
        <w:t xml:space="preserve">” has the meaning set forth in </w:t>
      </w:r>
      <w:r>
        <w:rPr>
          <w:rFonts w:ascii="Times New Roman" w:hAnsi="Times New Roman"/>
          <w:sz w:val="20"/>
          <w:u w:val="single"/>
        </w:rPr>
        <w:t>Section 3.01(d)(i)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Dilution Horizon Ratio</w:t>
      </w:r>
      <w:r>
        <w:rPr>
          <w:rFonts w:ascii="Times New Roman" w:hAnsi="Times New Roman"/>
          <w:sz w:val="20"/>
        </w:rPr>
        <w:t xml:space="preserve">” means, for any Fiscal Month, the ratio (expressed as a percentage and rounded to the nearest 1/100th of 1%, with 5/1000th of 1% rounded upward) computed as of the last day of such Fiscal Month by </w:t>
      </w:r>
      <w:r>
        <w:rPr>
          <w:rFonts w:ascii="Times New Roman" w:hAnsi="Times New Roman"/>
          <w:sz w:val="20"/>
          <w:u w:val="single"/>
        </w:rPr>
        <w:t>dividing</w:t>
      </w:r>
      <w:r>
        <w:rPr>
          <w:rFonts w:ascii="Times New Roman" w:hAnsi="Times New Roman"/>
          <w:sz w:val="20"/>
        </w:rPr>
        <w:t xml:space="preserve">: (a) the aggregate initial Outstanding Balance of all Pool Receivables (other than Unbilled Receivables) generated by the Originators during such Fiscal Month, </w:t>
      </w:r>
      <w:r>
        <w:rPr>
          <w:rFonts w:ascii="Times New Roman" w:hAnsi="Times New Roman"/>
          <w:sz w:val="20"/>
          <w:u w:val="single"/>
        </w:rPr>
        <w:t>by</w:t>
      </w:r>
      <w:r>
        <w:rPr>
          <w:rFonts w:ascii="Times New Roman" w:hAnsi="Times New Roman"/>
          <w:sz w:val="20"/>
        </w:rPr>
        <w:t xml:space="preserve"> (b) the aggregate Outstanding Balance of all Pool Receivables as of the last day of such Fiscal Month. Within thirty (30) days of the completion and the receipt by the Administrative Agent of the results of any annual audit or field exam of the Receivables and the servicing and origination practices of each Servicer and the Originators, the numerator of the Dilution Horizon Ratio may be adjusted by the Administrative Agent upon not less than five (5) Business Days’ notice to the Borrower to reflect such number of Fiscal Months as the Administrative Agent reasonably believes best reflects the business practices of each Servicer and the Originators and the actual amount of Dilution and Deemed Collections that occur with respect to Pool Receivables based on the weighted average dilution lag calculation completed as part of such audit or field exam. </w:t>
      </w:r>
    </w:p>
    <w:p>
      <w:pPr>
        <w:pStyle w:val="TextBody"/>
        <w:bidi w:val="0"/>
        <w:spacing w:before="240" w:after="0"/>
        <w:jc w:val="left"/>
        <w:rPr/>
      </w:pPr>
      <w:r>
        <w:rPr/>
        <w:t>“</w:t>
      </w:r>
      <w:r>
        <w:rPr>
          <w:rFonts w:ascii="Times New Roman" w:hAnsi="Times New Roman"/>
          <w:sz w:val="20"/>
          <w:u w:val="single"/>
        </w:rPr>
        <w:t>Dilution Ratio</w:t>
      </w:r>
      <w:r>
        <w:rPr>
          <w:rFonts w:ascii="Times New Roman" w:hAnsi="Times New Roman"/>
          <w:sz w:val="20"/>
        </w:rPr>
        <w:t xml:space="preserve">” means, for any Fiscal Month, the ratio (expressed as a percentage and rounded to the nearest 1/100th of 1%, with 5/1000th of 1% rounded upward), computed as of the last day of each Fiscal Month by </w:t>
      </w:r>
      <w:r>
        <w:rPr>
          <w:rFonts w:ascii="Times New Roman" w:hAnsi="Times New Roman"/>
          <w:sz w:val="20"/>
          <w:u w:val="single"/>
        </w:rPr>
        <w:t>dividing</w:t>
      </w:r>
      <w:r>
        <w:rPr>
          <w:rFonts w:ascii="Times New Roman" w:hAnsi="Times New Roman"/>
          <w:sz w:val="20"/>
        </w:rPr>
        <w:t xml:space="preserve">: (a) the aggregate amount of Dilution during such Fiscal Month, </w:t>
      </w:r>
      <w:r>
        <w:rPr>
          <w:rFonts w:ascii="Times New Roman" w:hAnsi="Times New Roman"/>
          <w:sz w:val="20"/>
          <w:u w:val="single"/>
        </w:rPr>
        <w:t>by</w:t>
      </w:r>
      <w:r>
        <w:rPr>
          <w:rFonts w:ascii="Times New Roman" w:hAnsi="Times New Roman"/>
          <w:sz w:val="20"/>
        </w:rPr>
        <w:t xml:space="preserve"> (b) the aggregate initial Outstanding Balance of all Pool Receivables (other than Unbilled Receivables) generated by the Originators during the prior Fiscal Month</w:t>
      </w:r>
      <w:r>
        <w:rPr>
          <w:rFonts w:ascii="Times New Roman" w:hAnsi="Times New Roman"/>
          <w:strike/>
          <w:color w:val="FF0000"/>
          <w:sz w:val="20"/>
        </w:rPr>
        <w:t xml:space="preserve">; </w:t>
      </w:r>
      <w:r>
        <w:rPr>
          <w:rFonts w:ascii="Times New Roman" w:hAnsi="Times New Roman"/>
          <w:strike/>
          <w:color w:val="FF0000"/>
          <w:sz w:val="20"/>
          <w:u w:val="single"/>
        </w:rPr>
        <w:t>provided</w:t>
      </w:r>
      <w:r>
        <w:rPr>
          <w:rFonts w:ascii="Times New Roman" w:hAnsi="Times New Roman"/>
          <w:strike/>
          <w:color w:val="FF0000"/>
          <w:sz w:val="20"/>
        </w:rPr>
        <w:t>, that Dilution relating to Receivables the Obligor of which is Vietnam Airlines occurring in August 2023 shall be excluded from the calculation of the Dilution Ratio.</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Dilution Reserve Percentage</w:t>
      </w:r>
      <w:r>
        <w:rPr>
          <w:rFonts w:ascii="Times New Roman" w:hAnsi="Times New Roman"/>
          <w:sz w:val="20"/>
        </w:rPr>
        <w:t xml:space="preserve">” means, at any time, the product (expressed as a percentage and rounded to the nearest 1/100th of 1%, with 5/1000th of 1% rounded upward) of (a) the Dilution Horizon Ratio, </w:t>
      </w:r>
      <w:r>
        <w:rPr>
          <w:rFonts w:ascii="Times New Roman" w:hAnsi="Times New Roman"/>
          <w:sz w:val="20"/>
          <w:u w:val="single"/>
        </w:rPr>
        <w:t>multiplied</w:t>
      </w:r>
      <w:r>
        <w:rPr>
          <w:rFonts w:ascii="Times New Roman" w:hAnsi="Times New Roman"/>
          <w:sz w:val="20"/>
        </w:rPr>
        <w:t xml:space="preserve"> </w:t>
      </w:r>
      <w:r>
        <w:rPr>
          <w:rFonts w:ascii="Times New Roman" w:hAnsi="Times New Roman"/>
          <w:sz w:val="20"/>
          <w:u w:val="single"/>
        </w:rPr>
        <w:t>by</w:t>
      </w:r>
      <w:r>
        <w:rPr>
          <w:rFonts w:ascii="Times New Roman" w:hAnsi="Times New Roman"/>
          <w:sz w:val="20"/>
        </w:rPr>
        <w:t xml:space="preserve"> (b) the sum of (x) 2.25 times the average of the Dilution Ratios for the twelve (12) most recent Fiscal Months and (y) the Dilution Volatility Component. </w:t>
      </w:r>
    </w:p>
    <w:p>
      <w:pPr>
        <w:pStyle w:val="TextBody"/>
        <w:bidi w:val="0"/>
        <w:spacing w:before="240" w:after="0"/>
        <w:jc w:val="left"/>
        <w:rPr/>
      </w:pPr>
      <w:r>
        <w:rPr/>
        <w:t>“</w:t>
      </w:r>
      <w:r>
        <w:rPr>
          <w:rFonts w:ascii="Times New Roman" w:hAnsi="Times New Roman"/>
          <w:sz w:val="20"/>
          <w:u w:val="single"/>
        </w:rPr>
        <w:t>Dilution Volatility Component</w:t>
      </w:r>
      <w:r>
        <w:rPr>
          <w:rFonts w:ascii="Times New Roman" w:hAnsi="Times New Roman"/>
          <w:sz w:val="20"/>
        </w:rPr>
        <w:t xml:space="preserve">” means, for any Fiscal Month, the product (expressed as a percentage) and rounded to the nearest 1/100th of 1%, with 5/1000th of 1% rounded upward) of: </w:t>
      </w:r>
    </w:p>
    <w:p>
      <w:pPr>
        <w:pStyle w:val="TextBody"/>
        <w:bidi w:val="0"/>
        <w:spacing w:before="120" w:after="0"/>
        <w:jc w:val="left"/>
        <w:rPr>
          <w:rFonts w:ascii="Times New Roman" w:hAnsi="Times New Roman"/>
          <w:sz w:val="20"/>
        </w:rPr>
      </w:pPr>
      <w:r>
        <w:rPr>
          <w:rFonts w:ascii="Times New Roman" w:hAnsi="Times New Roman"/>
          <w:sz w:val="20"/>
        </w:rPr>
        <w:t xml:space="preserve">(a) the positive difference, if any, between: (i) the highest Dilution Ratio for any Fiscal Month during the twelve (12) most recent Fiscal Months and (ii) the average of the Dilution Ratios for such twelve (12) Fiscal Months; </w:t>
      </w:r>
      <w:r>
        <w:rPr>
          <w:rFonts w:ascii="Times New Roman" w:hAnsi="Times New Roman"/>
          <w:sz w:val="20"/>
          <w:u w:val="single"/>
        </w:rPr>
        <w:t>multiplied</w:t>
      </w:r>
      <w:r>
        <w:rPr>
          <w:rFonts w:ascii="Times New Roman" w:hAnsi="Times New Roman"/>
          <w:sz w:val="20"/>
        </w:rPr>
        <w:t xml:space="preserve"> </w:t>
      </w:r>
      <w:r>
        <w:rPr>
          <w:rFonts w:ascii="Times New Roman" w:hAnsi="Times New Roman"/>
          <w:sz w:val="20"/>
          <w:u w:val="single"/>
        </w:rPr>
        <w:t>by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the quotient of (i) the highest Dilution Ratio for any Fiscal Month during the twelve (12) most recent Fiscal Months </w:t>
      </w:r>
      <w:r>
        <w:rPr>
          <w:rFonts w:ascii="Times New Roman" w:hAnsi="Times New Roman"/>
          <w:sz w:val="20"/>
          <w:u w:val="single"/>
        </w:rPr>
        <w:t>divided by</w:t>
      </w:r>
      <w:r>
        <w:rPr>
          <w:rFonts w:ascii="Times New Roman" w:hAnsi="Times New Roman"/>
          <w:sz w:val="20"/>
        </w:rPr>
        <w:t xml:space="preserve"> (ii) the average of the Dilution Ratios for such twelve (12) Fiscal Months. </w:t>
      </w:r>
    </w:p>
    <w:p>
      <w:pPr>
        <w:pStyle w:val="TextBody"/>
        <w:bidi w:val="0"/>
        <w:spacing w:before="240" w:after="0"/>
        <w:jc w:val="left"/>
        <w:rPr/>
      </w:pPr>
      <w:r>
        <w:rPr/>
        <w:t>“</w:t>
      </w:r>
      <w:r>
        <w:rPr>
          <w:rFonts w:ascii="Times New Roman" w:hAnsi="Times New Roman"/>
          <w:sz w:val="20"/>
          <w:u w:val="single"/>
        </w:rPr>
        <w:t>Disqualified Equity Interests</w:t>
      </w:r>
      <w:r>
        <w:rPr>
          <w:rFonts w:ascii="Times New Roman" w:hAnsi="Times New Roman"/>
          <w:sz w:val="20"/>
        </w:rPr>
        <w:t xml:space="preserve">” has the meaning assigned thereto in the Credit Agreement as in effect on the Closing Date and without giving effect to any subsequent amendments thereto. Any capitalized terms used within such defined term and its components shall have the meanings assigned thereto in the Credit Agreement as in effect on the Closing Date and without giving effect to any subsequent amendments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Dollar Equivalent</w:t>
      </w:r>
      <w:r>
        <w:rPr>
          <w:rFonts w:ascii="Times New Roman" w:hAnsi="Times New Roman"/>
          <w:sz w:val="20"/>
        </w:rPr>
        <w:t xml:space="preserve">” means,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by the applicable Bloomberg source (or such other publicly available source for displaying exchange rates as determined by the Administrative Agent from time to time) on the date that is one (1) Business Day immediately preceding the date of determination (or if such service ceases to be available or ceases to provide such rate of exchange, the equivalent of such amount in Dollars as determined by the Administrative Agent using any method of determination it deems appropriate in its sole discretion) and (c) if such amount is denominated in any other currency, the equivalent of such amount in Dollars as determined by the Administrative Agent using any method of determination it deems appropriate in its sole discretion. Any determination by the Administrative Agent pursuant to clauses (b) and (c) above shall be conclusive absent manifest error. </w:t>
      </w:r>
    </w:p>
    <w:p>
      <w:pPr>
        <w:pStyle w:val="TextBody"/>
        <w:bidi w:val="0"/>
        <w:spacing w:before="240" w:after="0"/>
        <w:jc w:val="left"/>
        <w:rPr/>
      </w:pPr>
      <w:r>
        <w:rPr/>
        <w:t>“</w:t>
      </w:r>
      <w:r>
        <w:rPr>
          <w:rFonts w:ascii="Times New Roman" w:hAnsi="Times New Roman"/>
          <w:sz w:val="20"/>
          <w:u w:val="single"/>
        </w:rPr>
        <w:t>Dollars</w:t>
      </w:r>
      <w:r>
        <w:rPr>
          <w:rFonts w:ascii="Times New Roman" w:hAnsi="Times New Roman"/>
          <w:sz w:val="20"/>
        </w:rPr>
        <w:t>” and “</w:t>
      </w:r>
      <w:r>
        <w:rPr>
          <w:rFonts w:ascii="Times New Roman" w:hAnsi="Times New Roman"/>
          <w:sz w:val="20"/>
          <w:u w:val="single"/>
        </w:rPr>
        <w:t>$</w:t>
      </w:r>
      <w:r>
        <w:rPr>
          <w:rFonts w:ascii="Times New Roman" w:hAnsi="Times New Roman"/>
          <w:sz w:val="20"/>
        </w:rPr>
        <w:t xml:space="preserve">” each mean the lawful money of the United States of America. </w:t>
      </w:r>
    </w:p>
    <w:p>
      <w:pPr>
        <w:pStyle w:val="TextBody"/>
        <w:bidi w:val="0"/>
        <w:spacing w:before="240" w:after="0"/>
        <w:jc w:val="left"/>
        <w:rPr>
          <w:color w:val="0000FF"/>
          <w:u w:val="single"/>
          <w:bdr w:val="double" w:sz="2" w:space="1" w:color="000000"/>
        </w:rPr>
      </w:pPr>
      <w:r>
        <w:rPr>
          <w:color w:val="0000FF"/>
          <w:u w:val="single"/>
          <w:bdr w:val="double" w:sz="2" w:space="1" w:color="000000"/>
        </w:rPr>
        <w:t>“</w:t>
      </w:r>
      <w:r>
        <w:rPr>
          <w:rFonts w:ascii="Times New Roman" w:hAnsi="Times New Roman"/>
          <w:color w:val="0000FF"/>
          <w:sz w:val="20"/>
          <w:u w:val="single"/>
          <w:bdr w:val="double" w:sz="2" w:space="1" w:color="000000"/>
        </w:rPr>
        <w:t xml:space="preserve">Earliest Maturity Date” means, at any date of determination, the earliest then-scheduled maturity date of any Material Indebtedness. </w:t>
      </w:r>
    </w:p>
    <w:p>
      <w:pPr>
        <w:pStyle w:val="TextBody"/>
        <w:bidi w:val="0"/>
        <w:spacing w:before="240" w:after="0"/>
        <w:jc w:val="left"/>
        <w:rPr/>
      </w:pPr>
      <w:r>
        <w:rPr/>
        <w:t>“</w:t>
      </w:r>
      <w:r>
        <w:rPr>
          <w:rFonts w:ascii="Times New Roman" w:hAnsi="Times New Roman"/>
          <w:sz w:val="20"/>
          <w:u w:val="single"/>
        </w:rPr>
        <w:t>Early Termination Payment</w:t>
      </w:r>
      <w:r>
        <w:rPr>
          <w:rFonts w:ascii="Times New Roman" w:hAnsi="Times New Roman"/>
          <w:sz w:val="20"/>
        </w:rPr>
        <w:t xml:space="preserve">” means an amount payable upon any voluntary reduction in the Class A Commitment of any Class A Lender equal to (1) if the Class A Commitment of any Class A Lender is reduced prior to the first anniversary of the First Amendment Date, 6.00% times the amount of such reduction in the Class A Commitment on such date, (2) if the Class A Commitment of any Class A Lender is reduced on or prior to the second anniversary of the First Amendment Date (but after the first anniversary), 4.00% times the amount of such reduction in the Class A Commitment on such date, (3) if the Class A Commitment of any Class A Lender is reduced prior to the third anniversary of the First Amendment Date (but after the second anniversary), 2.00% times the amount of such reduction in the Class A Commitment on such date and (4) if the Class A Commitment of any Class A Lender is reduced thereafter, zero. </w:t>
      </w:r>
    </w:p>
    <w:p>
      <w:pPr>
        <w:pStyle w:val="TextBody"/>
        <w:bidi w:val="0"/>
        <w:spacing w:before="240" w:after="0"/>
        <w:jc w:val="left"/>
        <w:rPr/>
      </w:pPr>
      <w:r>
        <w:rPr/>
        <w:t>“</w:t>
      </w:r>
      <w:r>
        <w:rPr>
          <w:rFonts w:ascii="Times New Roman" w:hAnsi="Times New Roman"/>
          <w:sz w:val="20"/>
          <w:u w:val="single"/>
        </w:rPr>
        <w:t>EEA Financial Institution</w:t>
      </w:r>
      <w:r>
        <w:rPr>
          <w:rFonts w:ascii="Times New Roman" w:hAnsi="Times New Roman"/>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hAnsi="Times New Roman"/>
          <w:sz w:val="20"/>
          <w:u w:val="single"/>
        </w:rPr>
        <w:t>clause (a)</w:t>
      </w:r>
      <w:r>
        <w:rPr>
          <w:rFonts w:ascii="Times New Roman" w:hAnsi="Times New Roman"/>
          <w:sz w:val="20"/>
        </w:rPr>
        <w:t xml:space="preserve"> of this definition, or (c) any financial institution established in an EEA Member Country which is a subsidiary of an institution described in </w:t>
      </w:r>
      <w:r>
        <w:rPr>
          <w:rFonts w:ascii="Times New Roman" w:hAnsi="Times New Roman"/>
          <w:sz w:val="20"/>
          <w:u w:val="single"/>
        </w:rPr>
        <w:t>clauses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of this definition and is subject to consolidated supervision with its parent. </w:t>
      </w:r>
    </w:p>
    <w:p>
      <w:pPr>
        <w:pStyle w:val="TextBody"/>
        <w:bidi w:val="0"/>
        <w:spacing w:before="240" w:after="0"/>
        <w:jc w:val="left"/>
        <w:rPr/>
      </w:pPr>
      <w:r>
        <w:rPr/>
        <w:t>“</w:t>
      </w:r>
      <w:r>
        <w:rPr>
          <w:rFonts w:ascii="Times New Roman" w:hAnsi="Times New Roman"/>
          <w:sz w:val="20"/>
          <w:u w:val="single"/>
        </w:rPr>
        <w:t>EEA Member Country</w:t>
      </w:r>
      <w:r>
        <w:rPr>
          <w:rFonts w:ascii="Times New Roman" w:hAnsi="Times New Roman"/>
          <w:sz w:val="20"/>
        </w:rPr>
        <w:t xml:space="preserve">” means any of the member states of the European Union, Iceland, Liechtenstein, and Norway.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EEA Resolution Authority</w:t>
      </w:r>
      <w:r>
        <w:rPr>
          <w:rFonts w:ascii="Times New Roman" w:hAnsi="Times New Roman"/>
          <w:sz w:val="20"/>
        </w:rPr>
        <w:t xml:space="preserve">” means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left"/>
        <w:rPr/>
      </w:pPr>
      <w:r>
        <w:rPr/>
        <w:t>“</w:t>
      </w:r>
      <w:r>
        <w:rPr>
          <w:rFonts w:ascii="Times New Roman" w:hAnsi="Times New Roman"/>
          <w:sz w:val="20"/>
          <w:u w:val="single"/>
        </w:rPr>
        <w:t>Effective Federal Funds Rate</w:t>
      </w:r>
      <w:r>
        <w:rPr>
          <w:rFonts w:ascii="Times New Roman" w:hAnsi="Times New Roman"/>
          <w:sz w:val="20"/>
        </w:rPr>
        <w:t xml:space="preserve">” means for any day the rate per annum (based on a year of 360 days and actual days elapsed and rounded upward to the nearest 1/100 of 1% announced by the Federal Reserve Bank of New York (or any successor) on such day as being the weighted average of the rates on overnight federal funds transactions arranged by federal funds brokers on the previous trading day, as computed and announced by such Federal Reserve Bank (or any successor) in substantially the same manner as such Federal Reserve Bank computes and announces the weighted average it refers to as the “Effective Federal Funds Rate” as of the date of this Agreement; </w:t>
      </w:r>
      <w:r>
        <w:rPr>
          <w:rFonts w:ascii="Times New Roman" w:hAnsi="Times New Roman"/>
          <w:sz w:val="20"/>
          <w:u w:val="single"/>
        </w:rPr>
        <w:t>provided</w:t>
      </w:r>
      <w:r>
        <w:rPr>
          <w:rFonts w:ascii="Times New Roman" w:hAnsi="Times New Roman"/>
          <w:sz w:val="20"/>
        </w:rPr>
        <w:t xml:space="preserve"> that if such Federal Reserve Bank (or its successor) does not announce such rate on any day, the “Effective Federal Funds Rate” for such day shall be the Effective Federal Funds Rate for the last day on which such rate was announced. Notwithstanding the foregoing, if the Effective Federal Funds Rate as determined under any method above would be less than zero percent (0.00%), such rate shall be deemed to be zero percent (0.00%) for purposes of this Agreement. </w:t>
      </w:r>
    </w:p>
    <w:p>
      <w:pPr>
        <w:pStyle w:val="TextBody"/>
        <w:bidi w:val="0"/>
        <w:spacing w:before="240" w:after="0"/>
        <w:jc w:val="left"/>
        <w:rPr/>
      </w:pPr>
      <w:r>
        <w:rPr/>
        <w:t>“</w:t>
      </w:r>
      <w:r>
        <w:rPr>
          <w:rFonts w:ascii="Times New Roman" w:hAnsi="Times New Roman"/>
          <w:sz w:val="20"/>
          <w:u w:val="single"/>
        </w:rPr>
        <w:t>Eligible Assignee</w:t>
      </w:r>
      <w:r>
        <w:rPr>
          <w:rFonts w:ascii="Times New Roman" w:hAnsi="Times New Roman"/>
          <w:sz w:val="20"/>
        </w:rPr>
        <w:t xml:space="preserve">” means any Person that meets the requirements to be an assignee under </w:t>
      </w:r>
      <w:r>
        <w:rPr>
          <w:rFonts w:ascii="Times New Roman" w:hAnsi="Times New Roman"/>
          <w:sz w:val="20"/>
          <w:u w:val="single"/>
        </w:rPr>
        <w:t>Section 12.06(b)(iv)</w:t>
      </w:r>
      <w:r>
        <w:rPr>
          <w:rFonts w:ascii="Times New Roman" w:hAnsi="Times New Roman"/>
          <w:sz w:val="20"/>
        </w:rPr>
        <w:t xml:space="preserve">, </w:t>
      </w:r>
      <w:r>
        <w:rPr>
          <w:rFonts w:ascii="Times New Roman" w:hAnsi="Times New Roman"/>
          <w:sz w:val="20"/>
          <w:u w:val="single"/>
        </w:rPr>
        <w:t>(v)</w:t>
      </w:r>
      <w:r>
        <w:rPr>
          <w:rFonts w:ascii="Times New Roman" w:hAnsi="Times New Roman"/>
          <w:sz w:val="20"/>
        </w:rPr>
        <w:t xml:space="preserve"> and </w:t>
      </w:r>
      <w:r>
        <w:rPr>
          <w:rFonts w:ascii="Times New Roman" w:hAnsi="Times New Roman"/>
          <w:sz w:val="20"/>
          <w:u w:val="single"/>
        </w:rPr>
        <w:t>(vi)</w:t>
      </w:r>
      <w:r>
        <w:rPr>
          <w:rFonts w:ascii="Times New Roman" w:hAnsi="Times New Roman"/>
          <w:sz w:val="20"/>
        </w:rPr>
        <w:t xml:space="preserve"> (subject to such consents, if any, as may be required under </w:t>
      </w:r>
      <w:r>
        <w:rPr>
          <w:rFonts w:ascii="Times New Roman" w:hAnsi="Times New Roman"/>
          <w:sz w:val="20"/>
          <w:u w:val="single"/>
        </w:rPr>
        <w:t>Section 12.06(b)(iii)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Eligible Clearing House</w:t>
      </w:r>
      <w:r>
        <w:rPr>
          <w:rFonts w:ascii="Times New Roman" w:hAnsi="Times New Roman"/>
          <w:sz w:val="20"/>
        </w:rPr>
        <w:t xml:space="preserve">” means Airlines Clearing House, Inc. or any other Clearing House approved in writing by the Administrative Agent. </w:t>
      </w:r>
    </w:p>
    <w:p>
      <w:pPr>
        <w:pStyle w:val="TextBody"/>
        <w:bidi w:val="0"/>
        <w:spacing w:before="240" w:after="0"/>
        <w:jc w:val="left"/>
        <w:rPr/>
      </w:pPr>
      <w:r>
        <w:rPr/>
        <w:t>“</w:t>
      </w:r>
      <w:r>
        <w:rPr>
          <w:rFonts w:ascii="Times New Roman" w:hAnsi="Times New Roman"/>
          <w:sz w:val="20"/>
          <w:u w:val="single"/>
        </w:rPr>
        <w:t>Eligible Clearing House Obligor</w:t>
      </w:r>
      <w:r>
        <w:rPr>
          <w:rFonts w:ascii="Times New Roman" w:hAnsi="Times New Roman"/>
          <w:sz w:val="20"/>
        </w:rPr>
        <w:t xml:space="preserve">” means an Obligor for which payments on Receivables are settled through a Clearing House so long as (a) such Obligor is an active participant under such Clearing House and has not been suspended and (b) no default action is permitted to be taken or has been taken by any member in such Clearing House against such Obligor or any member in any other Clearing House to which such Obligor participates. </w:t>
      </w:r>
    </w:p>
    <w:p>
      <w:pPr>
        <w:pStyle w:val="TextBody"/>
        <w:bidi w:val="0"/>
        <w:spacing w:before="240" w:after="0"/>
        <w:jc w:val="left"/>
        <w:rPr/>
      </w:pPr>
      <w:r>
        <w:rPr/>
        <w:t>“</w:t>
      </w:r>
      <w:r>
        <w:rPr>
          <w:rFonts w:ascii="Times New Roman" w:hAnsi="Times New Roman"/>
          <w:sz w:val="20"/>
          <w:u w:val="single"/>
        </w:rPr>
        <w:t>Eligible Credit Insurance</w:t>
      </w:r>
      <w:r>
        <w:rPr>
          <w:rFonts w:ascii="Times New Roman" w:hAnsi="Times New Roman"/>
          <w:sz w:val="20"/>
        </w:rPr>
        <w:t xml:space="preserve">” means a Credit Insurance Policy issued by an Eligible Credit Insurance Provider, which policy (a) has been approved in writing by the Administrative Agent in its sole discretion, (b) is in full force and effect, (c) under which the Administrative Agent is an additional insured, loss-payee or bank-beneficiary (as the case may be) entitled to make, and receive payment of, insurance claims thereunder, (d) contains terms and endorsements permitting the transactions contemplated by the Transaction Documents (including the transfer and pledge of the Pool Receivables insured thereby and the rights of the Secured Parties hereunder with respect thereto), and (e) with respect to which, all due and payable premiums have been paid in full. If the Credit Insurer of such a Credit Insurance Policy ceases to be an Eligible Credit Insurance Provider, such policy shall cease to constitute Eligible Credit Insurance. No Eligible Credit Insurance is in effect as of the Closing Date. </w:t>
      </w:r>
    </w:p>
    <w:p>
      <w:pPr>
        <w:pStyle w:val="TextBody"/>
        <w:bidi w:val="0"/>
        <w:spacing w:before="240" w:after="0"/>
        <w:jc w:val="left"/>
        <w:rPr/>
      </w:pPr>
      <w:r>
        <w:rPr/>
        <w:t>“</w:t>
      </w:r>
      <w:r>
        <w:rPr>
          <w:rFonts w:ascii="Times New Roman" w:hAnsi="Times New Roman"/>
          <w:sz w:val="20"/>
          <w:u w:val="single"/>
        </w:rPr>
        <w:t>Eligible Credit Insurance Provider</w:t>
      </w:r>
      <w:r>
        <w:rPr>
          <w:rFonts w:ascii="Times New Roman" w:hAnsi="Times New Roman"/>
          <w:sz w:val="20"/>
        </w:rPr>
        <w:t xml:space="preserve">” means an insurance company in the business of issuing commercial credit insurance (a) which company is not an Affiliate of any Borrower-Related Party and (b) with respect to which, at least two of Moody’s, Standard Poor’s or A.M. Best Company, Inc. have assigned it (or its unsecured and uncredit-enhanced debt securities) (x) a short-term debt rating of at least “A-2” and “P-2” and (y) a long-term rating of at least “BBB+” and “Baa1”; </w:t>
      </w:r>
      <w:r>
        <w:rPr>
          <w:rFonts w:ascii="Times New Roman" w:hAnsi="Times New Roman"/>
          <w:sz w:val="20"/>
          <w:u w:val="single"/>
        </w:rPr>
        <w:t>provided</w:t>
      </w:r>
      <w:r>
        <w:rPr>
          <w:rFonts w:ascii="Times New Roman" w:hAnsi="Times New Roman"/>
          <w:sz w:val="20"/>
        </w:rPr>
        <w:t xml:space="preserve">, that, with respect to any Credit Insurance Policy issued by multiple insurance providers, the Administrative Agent may elect (in its sole discretion) to treat such syndicate as a single insurer and apply a weighted average credit rating.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Eligible Foreign Obligor</w:t>
      </w:r>
      <w:r>
        <w:rPr>
          <w:rFonts w:ascii="Times New Roman" w:hAnsi="Times New Roman"/>
          <w:sz w:val="20"/>
        </w:rPr>
        <w:t>” means any Obligor which (i) is not a (x) U.S. Obligor</w:t>
      </w:r>
      <w:r>
        <w:rPr>
          <w:rFonts w:ascii="Times New Roman" w:hAnsi="Times New Roman"/>
          <w:color w:val="0000FF"/>
          <w:sz w:val="20"/>
          <w:u w:val="single"/>
          <w:bdr w:val="double" w:sz="2" w:space="1" w:color="000000"/>
        </w:rPr>
        <w:t>,</w:t>
      </w:r>
      <w:r>
        <w:rPr>
          <w:rFonts w:ascii="Times New Roman" w:hAnsi="Times New Roman"/>
          <w:sz w:val="20"/>
        </w:rPr>
        <w:t xml:space="preserve"> or (y) </w:t>
      </w:r>
      <w:r>
        <w:rPr>
          <w:rFonts w:ascii="Times New Roman" w:hAnsi="Times New Roman"/>
          <w:strike/>
          <w:color w:val="FF0000"/>
          <w:sz w:val="20"/>
        </w:rPr>
        <w:t>U.K.</w:t>
      </w:r>
      <w:r>
        <w:rPr>
          <w:rFonts w:ascii="Times New Roman" w:hAnsi="Times New Roman"/>
          <w:color w:val="0000FF"/>
          <w:sz w:val="20"/>
          <w:u w:val="single"/>
          <w:bdr w:val="double" w:sz="2" w:space="1" w:color="000000"/>
        </w:rPr>
        <w:t>UK</w:t>
      </w:r>
      <w:r>
        <w:rPr>
          <w:rFonts w:ascii="Times New Roman" w:hAnsi="Times New Roman"/>
          <w:sz w:val="20"/>
        </w:rPr>
        <w:t xml:space="preserve"> Obligor</w:t>
      </w:r>
      <w:r>
        <w:rPr>
          <w:rFonts w:ascii="Times New Roman" w:hAnsi="Times New Roman"/>
          <w:color w:val="0000FF"/>
          <w:sz w:val="20"/>
          <w:u w:val="single"/>
          <w:bdr w:val="double" w:sz="2" w:space="1" w:color="000000"/>
        </w:rPr>
        <w:t>,</w:t>
      </w:r>
      <w:r>
        <w:rPr>
          <w:rFonts w:ascii="Times New Roman" w:hAnsi="Times New Roman"/>
          <w:sz w:val="20"/>
        </w:rPr>
        <w:t xml:space="preserve"> and (ii) is domiciled in, organized in and whose principal place of business is in, any country other than a Sanctioned Jurisdiction, Belarus or Russia. </w:t>
      </w:r>
    </w:p>
    <w:p>
      <w:pPr>
        <w:pStyle w:val="TextBody"/>
        <w:bidi w:val="0"/>
        <w:spacing w:before="240" w:after="0"/>
        <w:jc w:val="left"/>
        <w:rPr/>
      </w:pPr>
      <w:r>
        <w:rPr/>
        <w:t>“</w:t>
      </w:r>
      <w:r>
        <w:rPr>
          <w:rFonts w:ascii="Times New Roman" w:hAnsi="Times New Roman"/>
          <w:sz w:val="20"/>
          <w:u w:val="single"/>
        </w:rPr>
        <w:t>Eligible Receivable</w:t>
      </w:r>
      <w:r>
        <w:rPr>
          <w:rFonts w:ascii="Times New Roman" w:hAnsi="Times New Roman"/>
          <w:sz w:val="20"/>
        </w:rPr>
        <w:t xml:space="preserve">” means, at any time, a Pool Receivable: </w:t>
      </w:r>
    </w:p>
    <w:p>
      <w:pPr>
        <w:pStyle w:val="TextBody"/>
        <w:bidi w:val="0"/>
        <w:spacing w:before="120" w:after="0"/>
        <w:jc w:val="left"/>
        <w:rPr>
          <w:rFonts w:ascii="Times New Roman" w:hAnsi="Times New Roman"/>
          <w:sz w:val="20"/>
        </w:rPr>
      </w:pPr>
      <w:r>
        <w:rPr>
          <w:rFonts w:ascii="Times New Roman" w:hAnsi="Times New Roman"/>
          <w:sz w:val="20"/>
        </w:rPr>
        <w:t xml:space="preserve">(a) the Obligor of which is: (i) a U.S. Obligor, </w:t>
      </w:r>
      <w:r>
        <w:rPr>
          <w:rFonts w:ascii="Times New Roman" w:hAnsi="Times New Roman"/>
          <w:strike/>
          <w:color w:val="FF0000"/>
          <w:sz w:val="20"/>
        </w:rPr>
        <w:t>U.K.</w:t>
      </w:r>
      <w:r>
        <w:rPr>
          <w:rFonts w:ascii="Times New Roman" w:hAnsi="Times New Roman"/>
          <w:color w:val="0000FF"/>
          <w:sz w:val="20"/>
          <w:u w:val="single"/>
          <w:bdr w:val="double" w:sz="2" w:space="1" w:color="000000"/>
        </w:rPr>
        <w:t>UK</w:t>
      </w:r>
      <w:r>
        <w:rPr>
          <w:rFonts w:ascii="Times New Roman" w:hAnsi="Times New Roman"/>
          <w:sz w:val="20"/>
        </w:rPr>
        <w:t xml:space="preserve"> Obligor or Eligible Foreign Obligor; (ii) not an Official Body; (iii) not subject to any Relief Proceeding; (iv) not a Sanctioned Person; (v) not an Affiliate of any Borrower-Related Party; (vi) not the Obligor with respect to Delinquent Receivables with an aggregate Outstanding Balance exceeding 50% of the aggregate Outstanding Balance of all such Obligor’s Pool Receivables; (vii) not a natural person and (viii) not a material supplier to any Originator or an Affiliate of a material supplier; </w:t>
      </w:r>
    </w:p>
    <w:p>
      <w:pPr>
        <w:pStyle w:val="TextBody"/>
        <w:bidi w:val="0"/>
        <w:spacing w:before="120" w:after="0"/>
        <w:jc w:val="left"/>
        <w:rPr>
          <w:rFonts w:ascii="Times New Roman" w:hAnsi="Times New Roman"/>
          <w:sz w:val="20"/>
        </w:rPr>
      </w:pPr>
      <w:r>
        <w:rPr>
          <w:rFonts w:ascii="Times New Roman" w:hAnsi="Times New Roman"/>
          <w:sz w:val="20"/>
        </w:rPr>
        <w:t xml:space="preserve">(b) for which a Relief Proceeding shall not have occurred with respect to the Obligor thereof (or any other Person that is a co-obligor, guarantor, issuer of supporting letters of credit or credit support provider with respect to such Obligor’s Receivables); </w:t>
      </w:r>
    </w:p>
    <w:p>
      <w:pPr>
        <w:pStyle w:val="TextBody"/>
        <w:bidi w:val="0"/>
        <w:spacing w:before="120" w:after="0"/>
        <w:jc w:val="left"/>
        <w:rPr>
          <w:rFonts w:ascii="Times New Roman" w:hAnsi="Times New Roman"/>
          <w:sz w:val="20"/>
        </w:rPr>
      </w:pPr>
      <w:r>
        <w:rPr>
          <w:rFonts w:ascii="Times New Roman" w:hAnsi="Times New Roman"/>
          <w:sz w:val="20"/>
        </w:rPr>
        <w:t>(c) that is denominated and payable only in Dollars or an Alternative Currency, and (i) with respect to any Receivable that is not settled through a Clearing House, the Obligor with respect to which has been instructed to remit Collections in respect thereof directly to a Lock-Box or Collection Account in the United States of America</w:t>
      </w:r>
      <w:r>
        <w:rPr>
          <w:rFonts w:ascii="Times New Roman" w:hAnsi="Times New Roman"/>
          <w:strike/>
          <w:color w:val="FF0000"/>
          <w:sz w:val="20"/>
        </w:rPr>
        <w:t xml:space="preserve"> or</w:t>
      </w:r>
      <w:r>
        <w:rPr>
          <w:rFonts w:ascii="Times New Roman" w:hAnsi="Times New Roman"/>
          <w:color w:val="0000FF"/>
          <w:sz w:val="20"/>
          <w:u w:val="single"/>
          <w:bdr w:val="double" w:sz="2" w:space="1" w:color="000000"/>
        </w:rPr>
        <w:t>,</w:t>
      </w:r>
      <w:r>
        <w:rPr>
          <w:rFonts w:ascii="Times New Roman" w:hAnsi="Times New Roman"/>
          <w:sz w:val="20"/>
        </w:rPr>
        <w:t xml:space="preserve"> the United Kingdom </w:t>
      </w:r>
      <w:r>
        <w:rPr>
          <w:rFonts w:ascii="Times New Roman" w:hAnsi="Times New Roman"/>
          <w:color w:val="0000FF"/>
          <w:sz w:val="20"/>
          <w:u w:val="single"/>
          <w:bdr w:val="double" w:sz="2" w:space="1" w:color="000000"/>
        </w:rPr>
        <w:t xml:space="preserve">or Singapore </w:t>
      </w:r>
      <w:r>
        <w:rPr>
          <w:rFonts w:ascii="Times New Roman" w:hAnsi="Times New Roman"/>
          <w:sz w:val="20"/>
        </w:rPr>
        <w:t xml:space="preserve">or (ii) with respect to any Pool Receivable that is settled through a Clearing House, (A) the applicable Clearing House is then an Eligible Clearing House, (B) the Obligor of which is an Eligible Clearing House Obligor and (C) the Obligor has been instructed to make payments on such Pool Receivable to the applicable Settlement Account in accordance with the Clearing House Rules for the applicable Clearing House; </w:t>
      </w:r>
    </w:p>
    <w:p>
      <w:pPr>
        <w:pStyle w:val="TextBody"/>
        <w:bidi w:val="0"/>
        <w:spacing w:before="120" w:after="0"/>
        <w:jc w:val="left"/>
        <w:rPr>
          <w:rFonts w:ascii="Times New Roman" w:hAnsi="Times New Roman"/>
          <w:sz w:val="20"/>
        </w:rPr>
      </w:pPr>
      <w:r>
        <w:rPr>
          <w:rFonts w:ascii="Times New Roman" w:hAnsi="Times New Roman"/>
          <w:sz w:val="20"/>
        </w:rPr>
        <w:t xml:space="preserve">(d) that (i) does not have a due date which is more than 90 days after the original invoice date of such Receivable, (ii) is not due upon receipt, and (iii) does not have a zero day term; </w:t>
      </w:r>
    </w:p>
    <w:p>
      <w:pPr>
        <w:pStyle w:val="TextBody"/>
        <w:bidi w:val="0"/>
        <w:spacing w:before="120" w:after="0"/>
        <w:jc w:val="left"/>
        <w:rPr>
          <w:rFonts w:ascii="Times New Roman" w:hAnsi="Times New Roman"/>
          <w:sz w:val="20"/>
        </w:rPr>
      </w:pPr>
      <w:r>
        <w:rPr>
          <w:rFonts w:ascii="Times New Roman" w:hAnsi="Times New Roman"/>
          <w:sz w:val="20"/>
        </w:rPr>
        <w:t xml:space="preserve">(e) that (i) arises under a Contract for the sale of goods or services in the ordinary course of the applicable Originator’s business and (ii) does not constitute a loan or other similar financial accommodation being provided by the applicable Originator; </w:t>
      </w:r>
    </w:p>
    <w:p>
      <w:pPr>
        <w:pStyle w:val="TextBody"/>
        <w:bidi w:val="0"/>
        <w:spacing w:before="120" w:after="0"/>
        <w:jc w:val="left"/>
        <w:rPr>
          <w:rFonts w:ascii="Times New Roman" w:hAnsi="Times New Roman"/>
          <w:sz w:val="20"/>
        </w:rPr>
      </w:pPr>
      <w:r>
        <w:rPr>
          <w:rFonts w:ascii="Times New Roman" w:hAnsi="Times New Roman"/>
          <w:sz w:val="20"/>
        </w:rPr>
        <w:t>(f) that arises under a duly authorized Contract that (i) is in full force and effect, (ii) is governed by the law of (x) the United States of America or of any State thereof</w:t>
      </w:r>
      <w:r>
        <w:rPr>
          <w:rFonts w:ascii="Times New Roman" w:hAnsi="Times New Roman"/>
          <w:strike/>
          <w:color w:val="FF0000"/>
          <w:sz w:val="20"/>
        </w:rPr>
        <w:t xml:space="preserve"> or</w:t>
      </w:r>
      <w:r>
        <w:rPr>
          <w:rFonts w:ascii="Times New Roman" w:hAnsi="Times New Roman"/>
          <w:color w:val="0000FF"/>
          <w:sz w:val="20"/>
          <w:u w:val="single"/>
          <w:bdr w:val="double" w:sz="2" w:space="1" w:color="000000"/>
        </w:rPr>
        <w:t>, (y)</w:t>
      </w:r>
      <w:r>
        <w:rPr>
          <w:rFonts w:ascii="Times New Roman" w:hAnsi="Times New Roman"/>
          <w:sz w:val="20"/>
        </w:rPr>
        <w:t xml:space="preserve"> England and Wales, </w:t>
      </w:r>
      <w:r>
        <w:rPr>
          <w:rFonts w:ascii="Times New Roman" w:hAnsi="Times New Roman"/>
          <w:color w:val="0000FF"/>
          <w:sz w:val="20"/>
          <w:u w:val="single"/>
          <w:bdr w:val="double" w:sz="2" w:space="1" w:color="000000"/>
        </w:rPr>
        <w:t xml:space="preserve">or (z) Singapore, </w:t>
      </w:r>
      <w:r>
        <w:rPr>
          <w:rFonts w:ascii="Times New Roman" w:hAnsi="Times New Roman"/>
          <w:sz w:val="20"/>
        </w:rPr>
        <w:t xml:space="preserve">(iii) is a legal, valid and binding obligation of the related Obligor, enforceable against such Obligor in accordance with its terms, except as such enforceability may be limited by applicable bankruptcy, insolvency, reorganization or other similar laws affecting the enforcement of creditors’ rights generally and by general principles of equity regardless of whether enforceability is considered in a proceeding in equity or at law and (iv) the payments thereunder are free and clear of any withholding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that has been transferred by an Originator to the Borrower pursuant to a Transfer Agreement with respect to which transfer all conditions precedent under the applicable Transfer Agreement have been met; </w:t>
      </w:r>
    </w:p>
    <w:p>
      <w:pPr>
        <w:pStyle w:val="TextBody"/>
        <w:bidi w:val="0"/>
        <w:spacing w:before="120" w:after="0"/>
        <w:jc w:val="left"/>
        <w:rPr>
          <w:rFonts w:ascii="Times New Roman" w:hAnsi="Times New Roman"/>
          <w:sz w:val="20"/>
        </w:rPr>
      </w:pPr>
      <w:r>
        <w:rPr>
          <w:rFonts w:ascii="Times New Roman" w:hAnsi="Times New Roman"/>
          <w:sz w:val="20"/>
        </w:rPr>
        <w:t xml:space="preserve">(h) that, together with the Contract related thereto, conforms in all material respects with all applicable Laws (including any applicable laws relating to usury, truth in lending, fair credit billing, fair credit reporting, equal credit opportunity, fair debt collection practices and privacy); </w:t>
      </w:r>
    </w:p>
    <w:p>
      <w:pPr>
        <w:pStyle w:val="TextBody"/>
        <w:bidi w:val="0"/>
        <w:spacing w:before="120" w:after="0"/>
        <w:jc w:val="left"/>
        <w:rPr>
          <w:rFonts w:ascii="Times New Roman" w:hAnsi="Times New Roman"/>
          <w:sz w:val="20"/>
        </w:rPr>
      </w:pPr>
      <w:r>
        <w:rPr>
          <w:rFonts w:ascii="Times New Roman" w:hAnsi="Times New Roman"/>
          <w:sz w:val="20"/>
        </w:rPr>
        <w:t xml:space="preserve">(i) with respect to which all material consents, licenses, approvals or authorizations of, or registrations or declarations with or notices to, any Official Body or other Person required to be obtained, effected or given by an Originator in connection with the creation of such Receivable, the execution, delivery and performance by such Originator of the related Contract or the assignment thereof under the applicable Transfer Agreement have been duly obtained, effected or given and are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(j) that is not subject to any existing dispute, claim, litigation, right of rescission, set-off, counterclaim, any other defense against the applicable Originator (or any assignee of such Originator) or Adverse Claim, and the Obligor of which holds no right as against the applicable Originator to cause such Originator to repurchase the goods or merchandise, the sale of which shall have given rise to such Receivable; </w:t>
      </w:r>
    </w:p>
    <w:p>
      <w:pPr>
        <w:pStyle w:val="TextBody"/>
        <w:bidi w:val="0"/>
        <w:spacing w:before="120" w:after="0"/>
        <w:jc w:val="left"/>
        <w:rPr>
          <w:rFonts w:ascii="Times New Roman" w:hAnsi="Times New Roman"/>
          <w:sz w:val="20"/>
        </w:rPr>
      </w:pPr>
      <w:r>
        <w:rPr>
          <w:rFonts w:ascii="Times New Roman" w:hAnsi="Times New Roman"/>
          <w:sz w:val="20"/>
        </w:rPr>
        <w:t xml:space="preserve">(k) that satisfies all applicable requirements of the Credit and Collection Policy; </w:t>
      </w:r>
    </w:p>
    <w:p>
      <w:pPr>
        <w:pStyle w:val="TextBody"/>
        <w:bidi w:val="0"/>
        <w:spacing w:before="120" w:after="0"/>
        <w:jc w:val="left"/>
        <w:rPr>
          <w:rFonts w:ascii="Times New Roman" w:hAnsi="Times New Roman"/>
          <w:sz w:val="20"/>
        </w:rPr>
      </w:pPr>
      <w:r>
        <w:rPr>
          <w:rFonts w:ascii="Times New Roman" w:hAnsi="Times New Roman"/>
          <w:sz w:val="20"/>
        </w:rPr>
        <w:t xml:space="preserve">(l) that, together with the Contract related thereto, has not been modified, waived or restructured since its creation, except as permitted pursuant to </w:t>
      </w:r>
      <w:r>
        <w:rPr>
          <w:rFonts w:ascii="Times New Roman" w:hAnsi="Times New Roman"/>
          <w:sz w:val="20"/>
          <w:u w:val="single"/>
        </w:rPr>
        <w:t>Section 8.02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(m) in which the Borrower owns good and marketable title, free and clear of any Adverse Claims, and that is freely assignable (including with respect to any assignment or transfer thereof or grant of a security interest therein) without any required consent of the related Obligor or any Official Body or any other condition thereto or restriction thereon (including under the applicable Contract and applicable Law), unless any such required consent, condition or restriction has been obtained or satisfied or has been rendered ineffective under all applicable Law, and the payments thereon are free and clear of any, or increased to account for any applicable, withholding Taxes; </w:t>
      </w:r>
    </w:p>
    <w:p>
      <w:pPr>
        <w:pStyle w:val="TextBody"/>
        <w:bidi w:val="0"/>
        <w:spacing w:before="120" w:after="0"/>
        <w:jc w:val="left"/>
        <w:rPr>
          <w:rFonts w:ascii="Times New Roman" w:hAnsi="Times New Roman"/>
          <w:sz w:val="20"/>
        </w:rPr>
      </w:pPr>
      <w:r>
        <w:rPr>
          <w:rFonts w:ascii="Times New Roman" w:hAnsi="Times New Roman"/>
          <w:sz w:val="20"/>
        </w:rPr>
        <w:t xml:space="preserve">(n) for which the Administrative Agent (on behalf of the Secured Parties) shall have a valid and enforceable first priority perfected security interest therein and in the Related Security and Collections with respect thereto, in each case free and clear of any Adverse Claim; </w:t>
      </w:r>
    </w:p>
    <w:p>
      <w:pPr>
        <w:pStyle w:val="TextBody"/>
        <w:bidi w:val="0"/>
        <w:spacing w:before="120" w:after="0"/>
        <w:jc w:val="left"/>
        <w:rPr>
          <w:rFonts w:ascii="Times New Roman" w:hAnsi="Times New Roman"/>
          <w:sz w:val="20"/>
        </w:rPr>
      </w:pPr>
      <w:r>
        <w:rPr>
          <w:rFonts w:ascii="Times New Roman" w:hAnsi="Times New Roman"/>
          <w:sz w:val="20"/>
        </w:rPr>
        <w:t xml:space="preserve">(o) that (x) constitutes an “account” or “general intangible” (as defined in the UCC), (y) is not evidenced by instruments or chattel paper and (z) does not constitute, or arise from the sale of, as-extracted collateral (as defined in the UCC);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that is neither a Defaulted Receivable nor a Delinquent Receivable; </w:t>
      </w:r>
    </w:p>
    <w:p>
      <w:pPr>
        <w:pStyle w:val="TextBody"/>
        <w:bidi w:val="0"/>
        <w:spacing w:before="120" w:after="0"/>
        <w:jc w:val="left"/>
        <w:rPr>
          <w:rFonts w:ascii="Times New Roman" w:hAnsi="Times New Roman"/>
          <w:sz w:val="20"/>
        </w:rPr>
      </w:pPr>
      <w:r>
        <w:rPr>
          <w:rFonts w:ascii="Times New Roman" w:hAnsi="Times New Roman"/>
          <w:sz w:val="20"/>
        </w:rPr>
        <w:t xml:space="preserve">(q) for which no Borrower-Related Party has established any offset or netting arrangements (including customer deposits and advance payments (including payments relating to unearned revenues)) with the related Obligor in connection with the ordinary course of payment of such Receivable; </w:t>
      </w:r>
    </w:p>
    <w:p>
      <w:pPr>
        <w:pStyle w:val="TextBody"/>
        <w:bidi w:val="0"/>
        <w:spacing w:before="120" w:after="0"/>
        <w:jc w:val="left"/>
        <w:rPr>
          <w:rFonts w:ascii="Times New Roman" w:hAnsi="Times New Roman"/>
          <w:sz w:val="20"/>
        </w:rPr>
      </w:pPr>
      <w:r>
        <w:rPr>
          <w:rFonts w:ascii="Times New Roman" w:hAnsi="Times New Roman"/>
          <w:sz w:val="20"/>
        </w:rPr>
        <w:t xml:space="preserve">(r) that represents amounts earned and payable by the Obligor that are not subject to the performance of additional services by the Originator thereof or by the Borrower and the related goods or merchandise shall have been shipped and/or services performed; </w:t>
      </w:r>
    </w:p>
    <w:p>
      <w:pPr>
        <w:pStyle w:val="TextBody"/>
        <w:bidi w:val="0"/>
        <w:spacing w:before="120" w:after="0"/>
        <w:jc w:val="left"/>
        <w:rPr>
          <w:rFonts w:ascii="Times New Roman" w:hAnsi="Times New Roman"/>
          <w:sz w:val="20"/>
        </w:rPr>
      </w:pPr>
      <w:r>
        <w:rPr>
          <w:rFonts w:ascii="Times New Roman" w:hAnsi="Times New Roman"/>
          <w:sz w:val="20"/>
        </w:rPr>
        <w:t xml:space="preserve">(s) which (i) does not arise from a sale of accounts made as part of a sale of a business or constitute an assignment for the purpose of collection only, (ii) is not a transfer of a single account made in whole or partial satisfaction of a preexisting indebtedness or an assignment of a right to payment under a contract to an assignee that is also obligated to perform under the contract and (iii) is not a transfer of an interest in or an assignment of a claim under a policy of insurance; </w:t>
      </w:r>
    </w:p>
    <w:p>
      <w:pPr>
        <w:pStyle w:val="TextBody"/>
        <w:bidi w:val="0"/>
        <w:spacing w:before="120" w:after="0"/>
        <w:jc w:val="left"/>
        <w:rPr>
          <w:rFonts w:ascii="Times New Roman" w:hAnsi="Times New Roman"/>
          <w:sz w:val="20"/>
        </w:rPr>
      </w:pPr>
      <w:r>
        <w:rPr>
          <w:rFonts w:ascii="Times New Roman" w:hAnsi="Times New Roman"/>
          <w:sz w:val="20"/>
        </w:rPr>
        <w:t xml:space="preserve">(t) which does not relate to the sale of any consigned goods or finished goods which have incorporated any consigned goods into such finished goods; </w:t>
      </w:r>
    </w:p>
    <w:p>
      <w:pPr>
        <w:pStyle w:val="TextBody"/>
        <w:bidi w:val="0"/>
        <w:spacing w:before="120" w:after="0"/>
        <w:jc w:val="left"/>
        <w:rPr>
          <w:rFonts w:ascii="Times New Roman" w:hAnsi="Times New Roman"/>
          <w:sz w:val="20"/>
        </w:rPr>
      </w:pPr>
      <w:r>
        <w:rPr>
          <w:rFonts w:ascii="Times New Roman" w:hAnsi="Times New Roman"/>
          <w:sz w:val="20"/>
        </w:rPr>
        <w:t xml:space="preserve">(u) for which the related invoice does not include any Excluded Receivable;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w:t>
      </w:r>
      <w:r>
        <w:rPr>
          <w:rFonts w:ascii="Times New Roman" w:hAnsi="Times New Roman"/>
          <w:b/>
          <w:sz w:val="20"/>
          <w:u w:val="single"/>
        </w:rPr>
        <w:t>Reserved</w:t>
      </w:r>
      <w:r>
        <w:rPr>
          <w:rFonts w:ascii="Times New Roman" w:hAnsi="Times New Roman"/>
          <w:sz w:val="20"/>
          <w:u w:val="single"/>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 for which neither the related Originator nor any Affiliate thereof is holding any deposits received by or on behalf of the related Obligor; provided that only the portion of such Pool Receivable in an amount equal to such deposits shall be ineligible; </w:t>
      </w:r>
    </w:p>
    <w:p>
      <w:pPr>
        <w:pStyle w:val="TextBody"/>
        <w:bidi w:val="0"/>
        <w:spacing w:before="120" w:after="0"/>
        <w:jc w:val="left"/>
        <w:rPr>
          <w:rFonts w:ascii="Times New Roman" w:hAnsi="Times New Roman"/>
          <w:sz w:val="20"/>
        </w:rPr>
      </w:pPr>
      <w:r>
        <w:rPr>
          <w:rFonts w:ascii="Times New Roman" w:hAnsi="Times New Roman"/>
          <w:sz w:val="20"/>
        </w:rPr>
        <w:t xml:space="preserve">(x) that, if such Receivables is an Unbilled Receivable, is an Eligible Unbilled Receivable. </w:t>
      </w:r>
    </w:p>
    <w:p>
      <w:pPr>
        <w:pStyle w:val="TextBody"/>
        <w:bidi w:val="0"/>
        <w:spacing w:before="240" w:after="0"/>
        <w:jc w:val="left"/>
        <w:rPr/>
      </w:pPr>
      <w:r>
        <w:rPr/>
        <w:t>“</w:t>
      </w:r>
      <w:r>
        <w:rPr>
          <w:rFonts w:ascii="Times New Roman" w:hAnsi="Times New Roman"/>
          <w:sz w:val="20"/>
          <w:u w:val="single"/>
        </w:rPr>
        <w:t>Eligible Unbilled Receivable</w:t>
      </w:r>
      <w:r>
        <w:rPr>
          <w:rFonts w:ascii="Times New Roman" w:hAnsi="Times New Roman"/>
          <w:sz w:val="20"/>
        </w:rPr>
        <w:t xml:space="preserve">” means, at any time, any Unbilled Receivable for which the related services were rendered to the Obligor thereof. </w:t>
      </w:r>
    </w:p>
    <w:p>
      <w:pPr>
        <w:pStyle w:val="TextBody"/>
        <w:bidi w:val="0"/>
        <w:spacing w:before="240" w:after="0"/>
        <w:jc w:val="left"/>
        <w:rPr/>
      </w:pPr>
      <w:r>
        <w:rPr/>
        <w:t>“</w:t>
      </w:r>
      <w:r>
        <w:rPr>
          <w:rFonts w:ascii="Times New Roman" w:hAnsi="Times New Roman"/>
          <w:sz w:val="20"/>
          <w:u w:val="single"/>
        </w:rPr>
        <w:t>Equity Interests</w:t>
      </w:r>
      <w:r>
        <w:rPr>
          <w:rFonts w:ascii="Times New Roman" w:hAnsi="Times New Roman"/>
          <w:sz w:val="20"/>
        </w:rPr>
        <w:t xml:space="preserve">”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as the same may be amended or supplemented from time to time, and any successor statute of similar import, and the rules and regulations thereunder, as from time to time in effect. </w:t>
      </w:r>
    </w:p>
    <w:p>
      <w:pPr>
        <w:pStyle w:val="TextBody"/>
        <w:bidi w:val="0"/>
        <w:spacing w:before="240" w:after="0"/>
        <w:jc w:val="left"/>
        <w:rPr/>
      </w:pPr>
      <w:r>
        <w:rPr/>
        <w:t>“</w:t>
      </w:r>
      <w:r>
        <w:rPr>
          <w:rFonts w:ascii="Times New Roman" w:hAnsi="Times New Roman"/>
          <w:sz w:val="20"/>
          <w:u w:val="single"/>
        </w:rPr>
        <w:t>ERISA Event</w:t>
      </w:r>
      <w:r>
        <w:rPr>
          <w:rFonts w:ascii="Times New Roman" w:hAnsi="Times New Roman"/>
          <w:sz w:val="20"/>
        </w:rPr>
        <w:t xml:space="preserve">” means (a) with respect to a Pension Plan, a reportable event under Section 4043 of ERISA as to which event (after taking into account notice waivers provided for in the regulations) there is a duty to give notice to the PBGC; (b) a withdrawal by Borrower or any member of the ERISA Group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Borrower or any member of the ERISA Group from a Multiemployer Plan, notification that a Multiemployer Plan is insolvent, or occurrence of an event described in Section 4041A(a) of ERISA that results in the termination of a Multiemployer Plan; (d) the filing of a notice of intent to terminate a Pension Plan, the treatment of a Pension Plan amendment as a termination under Section 4041(e) of ERISA, or the commencement of proceedings by the PBGC to terminate a Pension Plan; (e) an event or condition which constitutes grounds under Section 4042 of ERISA for the termination of, or the appointment of a trustee to administer, any Pension Plan or Multiemployer Plan; (f) the determination that any Pension Plan or Multiemployer Plan is considered an at-risk plan or a plan in endangered or critical status within the meaning of Sections 430.431 and 432 of the Code or Sections 303, 304 and 305 of ERISA; or (g) the imposition of any liability under Title IV of ERISA, other than for PBGC premiums due but not delinquent under Section 4007 of ERISA, upon Borrower or any member of the ERISA Group. </w:t>
      </w:r>
    </w:p>
    <w:p>
      <w:pPr>
        <w:pStyle w:val="TextBody"/>
        <w:bidi w:val="0"/>
        <w:spacing w:before="240" w:after="0"/>
        <w:jc w:val="left"/>
        <w:rPr/>
      </w:pPr>
      <w:r>
        <w:rPr/>
        <w:t>“</w:t>
      </w:r>
      <w:r>
        <w:rPr>
          <w:rFonts w:ascii="Times New Roman" w:hAnsi="Times New Roman"/>
          <w:sz w:val="20"/>
          <w:u w:val="single"/>
        </w:rPr>
        <w:t>ERISA Group</w:t>
      </w:r>
      <w:r>
        <w:rPr>
          <w:rFonts w:ascii="Times New Roman" w:hAnsi="Times New Roman"/>
          <w:sz w:val="20"/>
        </w:rPr>
        <w:t xml:space="preserve">” means, at any time, the Borrower and all members of a controlled group of corporations and all trades or businesses (whether or not incorporated) under common control and all other entities which, together with the Borrower, are treated as a single employer under Section 414 of the Code or Section 4001(b)(1) of ERISA. </w:t>
      </w:r>
    </w:p>
    <w:p>
      <w:pPr>
        <w:pStyle w:val="TextBody"/>
        <w:bidi w:val="0"/>
        <w:spacing w:before="240" w:after="0"/>
        <w:jc w:val="left"/>
        <w:rPr/>
      </w:pPr>
      <w:r>
        <w:rPr/>
        <w:t>“</w:t>
      </w:r>
      <w:r>
        <w:rPr>
          <w:rFonts w:ascii="Times New Roman" w:hAnsi="Times New Roman"/>
          <w:sz w:val="20"/>
          <w:u w:val="single"/>
        </w:rPr>
        <w:t>Erroneous Payment</w:t>
      </w:r>
      <w:r>
        <w:rPr>
          <w:rFonts w:ascii="Times New Roman" w:hAnsi="Times New Roman"/>
          <w:sz w:val="20"/>
        </w:rPr>
        <w:t xml:space="preserve">” has the meaning assigned to it in </w:t>
      </w:r>
      <w:r>
        <w:rPr>
          <w:rFonts w:ascii="Times New Roman" w:hAnsi="Times New Roman"/>
          <w:sz w:val="20"/>
          <w:u w:val="single"/>
        </w:rPr>
        <w:t>Section 10.13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Erroneous Payment Deficiency Assignment</w:t>
      </w:r>
      <w:r>
        <w:rPr>
          <w:rFonts w:ascii="Times New Roman" w:hAnsi="Times New Roman"/>
          <w:sz w:val="20"/>
        </w:rPr>
        <w:t xml:space="preserve">” has the meaning assigned to it in </w:t>
      </w:r>
      <w:r>
        <w:rPr>
          <w:rFonts w:ascii="Times New Roman" w:hAnsi="Times New Roman"/>
          <w:sz w:val="20"/>
          <w:u w:val="single"/>
        </w:rPr>
        <w:t>Section 10.13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Erroneous Payment Return Deficiency</w:t>
      </w:r>
      <w:r>
        <w:rPr>
          <w:rFonts w:ascii="Times New Roman" w:hAnsi="Times New Roman"/>
          <w:sz w:val="20"/>
        </w:rPr>
        <w:t xml:space="preserve">” has the meaning assigned to it in </w:t>
      </w:r>
      <w:r>
        <w:rPr>
          <w:rFonts w:ascii="Times New Roman" w:hAnsi="Times New Roman"/>
          <w:sz w:val="20"/>
          <w:u w:val="single"/>
        </w:rPr>
        <w:t>Section 10.13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Erroneous Payment Subrogation Rights</w:t>
      </w:r>
      <w:r>
        <w:rPr>
          <w:rFonts w:ascii="Times New Roman" w:hAnsi="Times New Roman"/>
          <w:sz w:val="20"/>
        </w:rPr>
        <w:t xml:space="preserve">” has the meaning assigned to it in </w:t>
      </w:r>
      <w:r>
        <w:rPr>
          <w:rFonts w:ascii="Times New Roman" w:hAnsi="Times New Roman"/>
          <w:sz w:val="20"/>
          <w:u w:val="single"/>
        </w:rPr>
        <w:t>Section 10.13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EU Bail-In Legislation Schedule</w:t>
      </w:r>
      <w:r>
        <w:rPr>
          <w:rFonts w:ascii="Times New Roman" w:hAnsi="Times New Roman"/>
          <w:sz w:val="20"/>
        </w:rPr>
        <w:t xml:space="preserve">” means the EU Bail-In Legislation Schedule published by the Loan Market Association (or any successor person), as in effect from time to time. </w:t>
      </w:r>
    </w:p>
    <w:p>
      <w:pPr>
        <w:pStyle w:val="TextBody"/>
        <w:bidi w:val="0"/>
        <w:spacing w:before="240" w:after="0"/>
        <w:jc w:val="left"/>
        <w:rPr/>
      </w:pPr>
      <w:r>
        <w:rPr/>
        <w:t>“</w:t>
      </w:r>
      <w:r>
        <w:rPr>
          <w:rFonts w:ascii="Times New Roman" w:hAnsi="Times New Roman"/>
          <w:sz w:val="20"/>
          <w:u w:val="single"/>
        </w:rPr>
        <w:t>Euro</w:t>
      </w:r>
      <w:r>
        <w:rPr>
          <w:rFonts w:ascii="Times New Roman" w:hAnsi="Times New Roman"/>
          <w:sz w:val="20"/>
        </w:rPr>
        <w:t xml:space="preserve">” or “” mean the lawful currency of the Participating Member States. </w:t>
      </w:r>
    </w:p>
    <w:p>
      <w:pPr>
        <w:pStyle w:val="TextBody"/>
        <w:bidi w:val="0"/>
        <w:spacing w:before="240" w:after="0"/>
        <w:jc w:val="left"/>
        <w:rPr/>
      </w:pPr>
      <w:r>
        <w:rPr/>
        <w:t>“</w:t>
      </w:r>
      <w:r>
        <w:rPr>
          <w:rFonts w:ascii="Times New Roman" w:hAnsi="Times New Roman"/>
          <w:sz w:val="20"/>
          <w:u w:val="single"/>
        </w:rPr>
        <w:t>Event of Default</w:t>
      </w:r>
      <w:r>
        <w:rPr>
          <w:rFonts w:ascii="Times New Roman" w:hAnsi="Times New Roman"/>
          <w:sz w:val="20"/>
        </w:rPr>
        <w:t xml:space="preserve">” means any of the events described in </w:t>
      </w:r>
      <w:r>
        <w:rPr>
          <w:rFonts w:ascii="Times New Roman" w:hAnsi="Times New Roman"/>
          <w:sz w:val="20"/>
          <w:u w:val="single"/>
        </w:rPr>
        <w:t>Section 9.01</w:t>
      </w:r>
      <w:r>
        <w:rPr>
          <w:rFonts w:ascii="Times New Roman" w:hAnsi="Times New Roman"/>
          <w:sz w:val="20"/>
        </w:rPr>
        <w:t xml:space="preserve">. For the avoidance of doubt, any Event of Default that occurs shall be deemed to be continuing at all times thereafter unless and until waived in accordance with </w:t>
      </w:r>
      <w:r>
        <w:rPr>
          <w:rFonts w:ascii="Times New Roman" w:hAnsi="Times New Roman"/>
          <w:sz w:val="20"/>
          <w:u w:val="single"/>
        </w:rPr>
        <w:t>Section 12.01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Excess Concentration</w:t>
      </w:r>
      <w:r>
        <w:rPr>
          <w:rFonts w:ascii="Times New Roman" w:hAnsi="Times New Roman"/>
          <w:sz w:val="20"/>
        </w:rPr>
        <w:t xml:space="preserve">” means the sum of the following amounts,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(i) the sum of the amounts calculated for each of the Obligors equal to the excess (if any) of (x) the aggregate Outstanding Balance of the Eligible Receivables of such Obligor, </w:t>
      </w:r>
      <w:r>
        <w:rPr>
          <w:rFonts w:ascii="Times New Roman" w:hAnsi="Times New Roman"/>
          <w:sz w:val="20"/>
          <w:u w:val="single"/>
        </w:rPr>
        <w:t>over</w:t>
      </w:r>
      <w:r>
        <w:rPr>
          <w:rFonts w:ascii="Times New Roman" w:hAnsi="Times New Roman"/>
          <w:sz w:val="20"/>
        </w:rPr>
        <w:t xml:space="preserve"> (y) the product of (A) such Obligor’s Concentration Percentage, </w:t>
      </w:r>
      <w:r>
        <w:rPr>
          <w:rFonts w:ascii="Times New Roman" w:hAnsi="Times New Roman"/>
          <w:sz w:val="20"/>
          <w:u w:val="single"/>
        </w:rPr>
        <w:t>multiplied</w:t>
      </w:r>
      <w:r>
        <w:rPr>
          <w:rFonts w:ascii="Times New Roman" w:hAnsi="Times New Roman"/>
          <w:sz w:val="20"/>
        </w:rPr>
        <w:t xml:space="preserve"> </w:t>
      </w:r>
      <w:r>
        <w:rPr>
          <w:rFonts w:ascii="Times New Roman" w:hAnsi="Times New Roman"/>
          <w:sz w:val="20"/>
          <w:u w:val="single"/>
        </w:rPr>
        <w:t>by</w:t>
      </w:r>
      <w:r>
        <w:rPr>
          <w:rFonts w:ascii="Times New Roman" w:hAnsi="Times New Roman"/>
          <w:sz w:val="20"/>
        </w:rPr>
        <w:t xml:space="preserve"> (B) the aggregate Outstanding Balance of all Eligible Receivables then in the Receivables Pool; </w:t>
      </w:r>
      <w:r>
        <w:rPr>
          <w:rFonts w:ascii="Times New Roman" w:hAnsi="Times New Roman"/>
          <w:sz w:val="20"/>
          <w:u w:val="single"/>
        </w:rPr>
        <w:t>provided</w:t>
      </w:r>
      <w:r>
        <w:rPr>
          <w:rFonts w:ascii="Times New Roman" w:hAnsi="Times New Roman"/>
          <w:sz w:val="20"/>
        </w:rPr>
        <w:t xml:space="preserve">, that, for purposes of this </w:t>
      </w:r>
      <w:r>
        <w:rPr>
          <w:rFonts w:ascii="Times New Roman" w:hAnsi="Times New Roman"/>
          <w:sz w:val="20"/>
          <w:u w:val="single"/>
        </w:rPr>
        <w:t>clause (i)</w:t>
      </w:r>
      <w:r>
        <w:rPr>
          <w:rFonts w:ascii="Times New Roman" w:hAnsi="Times New Roman"/>
          <w:sz w:val="20"/>
        </w:rPr>
        <w:t xml:space="preserve">, for any Eligible Receivable that is an Insured Receivable, the “Obligor” thereof shall be deemed to be (A) with respect to the Insured Amount of the Outstanding Balance of any Insured Receivable, the related Eligible Credit Insurance Provider and (B) with respect to the remaining Outstanding Balance, if any, the Obligor of such Insured Receivable;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the excess (if any) of (x) the aggregate Outstanding Balance of all Pool Receivables that are UK Receivables, </w:t>
      </w:r>
      <w:r>
        <w:rPr>
          <w:rFonts w:ascii="Times New Roman" w:hAnsi="Times New Roman"/>
          <w:sz w:val="20"/>
          <w:u w:val="single"/>
        </w:rPr>
        <w:t>over</w:t>
      </w:r>
      <w:r>
        <w:rPr>
          <w:rFonts w:ascii="Times New Roman" w:hAnsi="Times New Roman"/>
          <w:sz w:val="20"/>
        </w:rPr>
        <w:t xml:space="preserve"> (y) the product of (A) 35.00%, </w:t>
      </w:r>
      <w:r>
        <w:rPr>
          <w:rFonts w:ascii="Times New Roman" w:hAnsi="Times New Roman"/>
          <w:sz w:val="20"/>
          <w:u w:val="single"/>
        </w:rPr>
        <w:t>multiplied</w:t>
      </w:r>
      <w:r>
        <w:rPr>
          <w:rFonts w:ascii="Times New Roman" w:hAnsi="Times New Roman"/>
          <w:sz w:val="20"/>
        </w:rPr>
        <w:t xml:space="preserve"> </w:t>
      </w:r>
      <w:r>
        <w:rPr>
          <w:rFonts w:ascii="Times New Roman" w:hAnsi="Times New Roman"/>
          <w:sz w:val="20"/>
          <w:u w:val="single"/>
        </w:rPr>
        <w:t>by</w:t>
      </w:r>
      <w:r>
        <w:rPr>
          <w:rFonts w:ascii="Times New Roman" w:hAnsi="Times New Roman"/>
          <w:sz w:val="20"/>
        </w:rPr>
        <w:t xml:space="preserve"> (B) the aggregate Outstanding Balance of all Pool Receivables;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the excess (if any) of (x) the aggregate Outstanding Balance of the Eligible Receivables the Obligors for which are Clearing House Eligible Foreign Obligors, </w:t>
      </w:r>
      <w:r>
        <w:rPr>
          <w:rFonts w:ascii="Times New Roman" w:hAnsi="Times New Roman"/>
          <w:sz w:val="20"/>
          <w:u w:val="single"/>
        </w:rPr>
        <w:t>over</w:t>
      </w:r>
      <w:r>
        <w:rPr>
          <w:rFonts w:ascii="Times New Roman" w:hAnsi="Times New Roman"/>
          <w:sz w:val="20"/>
        </w:rPr>
        <w:t xml:space="preserve"> (y) the product of (A) 50.00%, </w:t>
      </w:r>
      <w:r>
        <w:rPr>
          <w:rFonts w:ascii="Times New Roman" w:hAnsi="Times New Roman"/>
          <w:sz w:val="20"/>
          <w:u w:val="single"/>
        </w:rPr>
        <w:t>multiplied</w:t>
      </w:r>
      <w:r>
        <w:rPr>
          <w:rFonts w:ascii="Times New Roman" w:hAnsi="Times New Roman"/>
          <w:sz w:val="20"/>
        </w:rPr>
        <w:t xml:space="preserve"> </w:t>
      </w:r>
      <w:r>
        <w:rPr>
          <w:rFonts w:ascii="Times New Roman" w:hAnsi="Times New Roman"/>
          <w:sz w:val="20"/>
          <w:u w:val="single"/>
        </w:rPr>
        <w:t>by</w:t>
      </w:r>
      <w:r>
        <w:rPr>
          <w:rFonts w:ascii="Times New Roman" w:hAnsi="Times New Roman"/>
          <w:sz w:val="20"/>
        </w:rPr>
        <w:t xml:space="preserve"> (B) the aggregate Outstanding Balance of all Eligible Receivables then in the Receivables Pool;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the excess (if any) of (x) the aggregate Outstanding Balance of the Eligible Receivables the Obligors for which are Clearing House Eligible Foreign Obligors that are Tier II Eligible Foreign Obligors, </w:t>
      </w:r>
      <w:r>
        <w:rPr>
          <w:rFonts w:ascii="Times New Roman" w:hAnsi="Times New Roman"/>
          <w:sz w:val="20"/>
          <w:u w:val="single"/>
        </w:rPr>
        <w:t>over</w:t>
      </w:r>
      <w:r>
        <w:rPr>
          <w:rFonts w:ascii="Times New Roman" w:hAnsi="Times New Roman"/>
          <w:sz w:val="20"/>
        </w:rPr>
        <w:t xml:space="preserve"> (y) the product of (A) 20.00%, </w:t>
      </w:r>
      <w:r>
        <w:rPr>
          <w:rFonts w:ascii="Times New Roman" w:hAnsi="Times New Roman"/>
          <w:sz w:val="20"/>
          <w:u w:val="single"/>
        </w:rPr>
        <w:t>multiplied by</w:t>
      </w:r>
      <w:r>
        <w:rPr>
          <w:rFonts w:ascii="Times New Roman" w:hAnsi="Times New Roman"/>
          <w:sz w:val="20"/>
        </w:rPr>
        <w:t xml:space="preserve"> (B) the aggregate Outstanding Balance of all Eligible Receivables then in the Receivables Pool; </w:t>
      </w:r>
      <w:r>
        <w:rPr>
          <w:rFonts w:ascii="Times New Roman" w:hAnsi="Times New Roman"/>
          <w:sz w:val="20"/>
          <w:u w:val="single"/>
        </w:rPr>
        <w:t xml:space="preserve">plus </w:t>
      </w:r>
    </w:p>
    <w:p>
      <w:pPr>
        <w:pStyle w:val="TextBody"/>
        <w:bidi w:val="0"/>
        <w:spacing w:before="120" w:after="0"/>
        <w:jc w:val="left"/>
        <w:rPr>
          <w:rFonts w:ascii="Times New Roman" w:hAnsi="Times New Roman"/>
          <w:sz w:val="20"/>
        </w:rPr>
      </w:pPr>
      <w:r>
        <w:rPr>
          <w:rFonts w:ascii="Times New Roman" w:hAnsi="Times New Roman"/>
          <w:sz w:val="20"/>
        </w:rPr>
        <w:t xml:space="preserve">(v) the excess (if any) of (x) the aggregate Outstanding Balance of the Eligible Receivables the Obligors for which are Clearing House Eligible Foreign Obligors that are Tier III Eligible Foreign Obligors, </w:t>
      </w:r>
      <w:r>
        <w:rPr>
          <w:rFonts w:ascii="Times New Roman" w:hAnsi="Times New Roman"/>
          <w:sz w:val="20"/>
          <w:u w:val="single"/>
        </w:rPr>
        <w:t>over</w:t>
      </w:r>
      <w:r>
        <w:rPr>
          <w:rFonts w:ascii="Times New Roman" w:hAnsi="Times New Roman"/>
          <w:sz w:val="20"/>
        </w:rPr>
        <w:t xml:space="preserve"> (y) the product of (A) 7.50%, </w:t>
      </w:r>
      <w:r>
        <w:rPr>
          <w:rFonts w:ascii="Times New Roman" w:hAnsi="Times New Roman"/>
          <w:sz w:val="20"/>
          <w:u w:val="single"/>
        </w:rPr>
        <w:t>multiplied by</w:t>
      </w:r>
      <w:r>
        <w:rPr>
          <w:rFonts w:ascii="Times New Roman" w:hAnsi="Times New Roman"/>
          <w:sz w:val="20"/>
        </w:rPr>
        <w:t xml:space="preserve"> (B) the aggregate Outstanding Balance of all Eligible Receivables then in the Receivables Pool; </w:t>
      </w:r>
      <w:r>
        <w:rPr>
          <w:rFonts w:ascii="Times New Roman" w:hAnsi="Times New Roman"/>
          <w:sz w:val="20"/>
          <w:u w:val="single"/>
        </w:rPr>
        <w:t xml:space="preserve">plus </w:t>
      </w:r>
    </w:p>
    <w:p>
      <w:pPr>
        <w:pStyle w:val="TextBody"/>
        <w:bidi w:val="0"/>
        <w:spacing w:before="120" w:after="0"/>
        <w:jc w:val="left"/>
        <w:rPr>
          <w:rFonts w:ascii="Times New Roman" w:hAnsi="Times New Roman"/>
          <w:sz w:val="20"/>
        </w:rPr>
      </w:pPr>
      <w:r>
        <w:rPr>
          <w:rFonts w:ascii="Times New Roman" w:hAnsi="Times New Roman"/>
          <w:sz w:val="20"/>
        </w:rPr>
        <w:t xml:space="preserve">(vi) the excess (if any) of (x) the aggregate Outstanding Balance of the Eligible Receivables the Obligors for which are Non-Clearing House Eligible Foreign Obligors, </w:t>
      </w:r>
      <w:r>
        <w:rPr>
          <w:rFonts w:ascii="Times New Roman" w:hAnsi="Times New Roman"/>
          <w:sz w:val="20"/>
          <w:u w:val="single"/>
        </w:rPr>
        <w:t>over</w:t>
      </w:r>
      <w:r>
        <w:rPr>
          <w:rFonts w:ascii="Times New Roman" w:hAnsi="Times New Roman"/>
          <w:sz w:val="20"/>
        </w:rPr>
        <w:t xml:space="preserve"> (y) the product of (A) 25.00%, </w:t>
      </w:r>
      <w:r>
        <w:rPr>
          <w:rFonts w:ascii="Times New Roman" w:hAnsi="Times New Roman"/>
          <w:sz w:val="20"/>
          <w:u w:val="single"/>
        </w:rPr>
        <w:t>multiplied</w:t>
      </w:r>
      <w:r>
        <w:rPr>
          <w:rFonts w:ascii="Times New Roman" w:hAnsi="Times New Roman"/>
          <w:sz w:val="20"/>
        </w:rPr>
        <w:t xml:space="preserve"> </w:t>
      </w:r>
      <w:r>
        <w:rPr>
          <w:rFonts w:ascii="Times New Roman" w:hAnsi="Times New Roman"/>
          <w:sz w:val="20"/>
          <w:u w:val="single"/>
        </w:rPr>
        <w:t>by</w:t>
      </w:r>
      <w:r>
        <w:rPr>
          <w:rFonts w:ascii="Times New Roman" w:hAnsi="Times New Roman"/>
          <w:sz w:val="20"/>
        </w:rPr>
        <w:t xml:space="preserve"> (B) the aggregate Outstanding Balance of all Eligible Receivables then in the Receivables Pool;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 the excess (if any) of (x) the aggregate Outstanding Balance of the Eligible Receivables the Obligors for which are Non-Clearing House Eligible Foreign Obligors that are Tier II Eligible Foreign Obligors, </w:t>
      </w:r>
      <w:r>
        <w:rPr>
          <w:rFonts w:ascii="Times New Roman" w:hAnsi="Times New Roman"/>
          <w:sz w:val="20"/>
          <w:u w:val="single"/>
        </w:rPr>
        <w:t>over</w:t>
      </w:r>
      <w:r>
        <w:rPr>
          <w:rFonts w:ascii="Times New Roman" w:hAnsi="Times New Roman"/>
          <w:sz w:val="20"/>
        </w:rPr>
        <w:t xml:space="preserve"> (y) the product of (A) 15.00%, </w:t>
      </w:r>
      <w:r>
        <w:rPr>
          <w:rFonts w:ascii="Times New Roman" w:hAnsi="Times New Roman"/>
          <w:sz w:val="20"/>
          <w:u w:val="single"/>
        </w:rPr>
        <w:t>multiplied</w:t>
      </w:r>
      <w:r>
        <w:rPr>
          <w:rFonts w:ascii="Times New Roman" w:hAnsi="Times New Roman"/>
          <w:sz w:val="20"/>
        </w:rPr>
        <w:t xml:space="preserve"> </w:t>
      </w:r>
      <w:r>
        <w:rPr>
          <w:rFonts w:ascii="Times New Roman" w:hAnsi="Times New Roman"/>
          <w:sz w:val="20"/>
          <w:u w:val="single"/>
        </w:rPr>
        <w:t>by</w:t>
      </w:r>
      <w:r>
        <w:rPr>
          <w:rFonts w:ascii="Times New Roman" w:hAnsi="Times New Roman"/>
          <w:sz w:val="20"/>
        </w:rPr>
        <w:t xml:space="preserve"> (B) the aggregate Outstanding Balance of all Eligible Receivables then in the Receivables Pool; </w:t>
      </w:r>
      <w:r>
        <w:rPr>
          <w:rFonts w:ascii="Times New Roman" w:hAnsi="Times New Roman"/>
          <w:sz w:val="20"/>
          <w:u w:val="single"/>
        </w:rPr>
        <w:t xml:space="preserve">plus </w:t>
      </w:r>
    </w:p>
    <w:p>
      <w:pPr>
        <w:pStyle w:val="TextBody"/>
        <w:bidi w:val="0"/>
        <w:spacing w:before="120" w:after="0"/>
        <w:jc w:val="left"/>
        <w:rPr>
          <w:rFonts w:ascii="Times New Roman" w:hAnsi="Times New Roman"/>
          <w:sz w:val="20"/>
        </w:rPr>
      </w:pPr>
      <w:r>
        <w:rPr>
          <w:rFonts w:ascii="Times New Roman" w:hAnsi="Times New Roman"/>
          <w:sz w:val="20"/>
        </w:rPr>
        <w:t xml:space="preserve">(viii) the excess (if any) of (x) the aggregate Outstanding Balance of the Eligible Receivables the Obligors for which are Non-Clearing House Eligible Foreign Obligors that are Tier III Eligible Foreign Obligors, </w:t>
      </w:r>
      <w:r>
        <w:rPr>
          <w:rFonts w:ascii="Times New Roman" w:hAnsi="Times New Roman"/>
          <w:sz w:val="20"/>
          <w:u w:val="single"/>
        </w:rPr>
        <w:t>over</w:t>
      </w:r>
      <w:r>
        <w:rPr>
          <w:rFonts w:ascii="Times New Roman" w:hAnsi="Times New Roman"/>
          <w:sz w:val="20"/>
        </w:rPr>
        <w:t xml:space="preserve"> (y) the product of (A) 2.50%, </w:t>
      </w:r>
      <w:r>
        <w:rPr>
          <w:rFonts w:ascii="Times New Roman" w:hAnsi="Times New Roman"/>
          <w:sz w:val="20"/>
          <w:u w:val="single"/>
        </w:rPr>
        <w:t>multiplied</w:t>
      </w:r>
      <w:r>
        <w:rPr>
          <w:rFonts w:ascii="Times New Roman" w:hAnsi="Times New Roman"/>
          <w:sz w:val="20"/>
        </w:rPr>
        <w:t xml:space="preserve"> </w:t>
      </w:r>
      <w:r>
        <w:rPr>
          <w:rFonts w:ascii="Times New Roman" w:hAnsi="Times New Roman"/>
          <w:sz w:val="20"/>
          <w:u w:val="single"/>
        </w:rPr>
        <w:t>by</w:t>
      </w:r>
      <w:r>
        <w:rPr>
          <w:rFonts w:ascii="Times New Roman" w:hAnsi="Times New Roman"/>
          <w:sz w:val="20"/>
        </w:rPr>
        <w:t xml:space="preserve"> (B) the aggregate Outstanding Balance of all Eligible Receivables then in the Receivables Pool; </w:t>
      </w:r>
      <w:r>
        <w:rPr>
          <w:rFonts w:ascii="Times New Roman" w:hAnsi="Times New Roman"/>
          <w:sz w:val="20"/>
          <w:u w:val="single"/>
        </w:rPr>
        <w:t>plus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(ix) the excess (if any) of (x) the aggregate Outstanding Balance of all Unbilled Receivables, over (y) the product of (A) 0%, multiplied by (B) the aggregate Outstanding </w:t>
      </w:r>
      <w:r>
        <w:rPr>
          <w:rFonts w:ascii="Times New Roman" w:hAnsi="Times New Roman"/>
          <w:strike/>
          <w:color w:val="FF0000"/>
          <w:sz w:val="20"/>
        </w:rPr>
        <w:t>Balancing</w:t>
      </w:r>
      <w:r>
        <w:rPr>
          <w:rFonts w:ascii="Times New Roman" w:hAnsi="Times New Roman"/>
          <w:color w:val="0000FF"/>
          <w:sz w:val="20"/>
          <w:u w:val="single"/>
          <w:bdr w:val="double" w:sz="2" w:space="1" w:color="000000"/>
        </w:rPr>
        <w:t>Balance</w:t>
      </w:r>
      <w:r>
        <w:rPr>
          <w:rFonts w:ascii="Times New Roman" w:hAnsi="Times New Roman"/>
          <w:sz w:val="20"/>
        </w:rPr>
        <w:t xml:space="preserve"> of all Eligible </w:t>
      </w:r>
      <w:r>
        <w:rPr>
          <w:rFonts w:ascii="Times New Roman" w:hAnsi="Times New Roman"/>
          <w:strike/>
          <w:color w:val="FF0000"/>
          <w:sz w:val="20"/>
        </w:rPr>
        <w:t>receivables</w:t>
      </w:r>
      <w:r>
        <w:rPr>
          <w:rFonts w:ascii="Times New Roman" w:hAnsi="Times New Roman"/>
          <w:color w:val="0000FF"/>
          <w:sz w:val="20"/>
          <w:u w:val="single"/>
          <w:bdr w:val="double" w:sz="2" w:space="1" w:color="000000"/>
        </w:rPr>
        <w:t>Receivables</w:t>
      </w:r>
      <w:r>
        <w:rPr>
          <w:rFonts w:ascii="Times New Roman" w:hAnsi="Times New Roman"/>
          <w:sz w:val="20"/>
        </w:rPr>
        <w:t xml:space="preserve"> then in the Receivables Pool;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 the excess (if any) of (x) the aggregate Outstanding Balance of the Eligible Receivables the Obligors for which are Tier I Eligible Foreign Obligors that have a billing address in any single country, </w:t>
      </w:r>
      <w:r>
        <w:rPr>
          <w:rFonts w:ascii="Times New Roman" w:hAnsi="Times New Roman"/>
          <w:sz w:val="20"/>
          <w:u w:val="single"/>
        </w:rPr>
        <w:t>over</w:t>
      </w:r>
      <w:r>
        <w:rPr>
          <w:rFonts w:ascii="Times New Roman" w:hAnsi="Times New Roman"/>
          <w:sz w:val="20"/>
        </w:rPr>
        <w:t xml:space="preserve"> (y) the product of (A) 15.00%, </w:t>
      </w:r>
      <w:r>
        <w:rPr>
          <w:rFonts w:ascii="Times New Roman" w:hAnsi="Times New Roman"/>
          <w:sz w:val="20"/>
          <w:u w:val="single"/>
        </w:rPr>
        <w:t>multiplied</w:t>
      </w:r>
      <w:r>
        <w:rPr>
          <w:rFonts w:ascii="Times New Roman" w:hAnsi="Times New Roman"/>
          <w:sz w:val="20"/>
        </w:rPr>
        <w:t xml:space="preserve"> </w:t>
      </w:r>
      <w:r>
        <w:rPr>
          <w:rFonts w:ascii="Times New Roman" w:hAnsi="Times New Roman"/>
          <w:sz w:val="20"/>
          <w:u w:val="single"/>
        </w:rPr>
        <w:t>by</w:t>
      </w:r>
      <w:r>
        <w:rPr>
          <w:rFonts w:ascii="Times New Roman" w:hAnsi="Times New Roman"/>
          <w:sz w:val="20"/>
        </w:rPr>
        <w:t xml:space="preserve"> (B) the aggregate Outstanding Balance of all Eligible Receivables then in the Receivables Pool;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(xi) the excess (if any) of (x) the aggregate Outstanding Balance of the Eligible Receivables the Obligors for which are Tier II Eligible Foreign Obligors that have a billing address in any single country, </w:t>
      </w:r>
      <w:r>
        <w:rPr>
          <w:rFonts w:ascii="Times New Roman" w:hAnsi="Times New Roman"/>
          <w:sz w:val="20"/>
          <w:u w:val="single"/>
        </w:rPr>
        <w:t>over</w:t>
      </w:r>
      <w:r>
        <w:rPr>
          <w:rFonts w:ascii="Times New Roman" w:hAnsi="Times New Roman"/>
          <w:sz w:val="20"/>
        </w:rPr>
        <w:t xml:space="preserve"> (y) the product of (A) 7.50%, </w:t>
      </w:r>
      <w:r>
        <w:rPr>
          <w:rFonts w:ascii="Times New Roman" w:hAnsi="Times New Roman"/>
          <w:sz w:val="20"/>
          <w:u w:val="single"/>
        </w:rPr>
        <w:t>multiplied</w:t>
      </w:r>
      <w:r>
        <w:rPr>
          <w:rFonts w:ascii="Times New Roman" w:hAnsi="Times New Roman"/>
          <w:sz w:val="20"/>
        </w:rPr>
        <w:t xml:space="preserve"> </w:t>
      </w:r>
      <w:r>
        <w:rPr>
          <w:rFonts w:ascii="Times New Roman" w:hAnsi="Times New Roman"/>
          <w:sz w:val="20"/>
          <w:u w:val="single"/>
        </w:rPr>
        <w:t>by</w:t>
      </w:r>
      <w:r>
        <w:rPr>
          <w:rFonts w:ascii="Times New Roman" w:hAnsi="Times New Roman"/>
          <w:sz w:val="20"/>
        </w:rPr>
        <w:t xml:space="preserve"> (B) the aggregate Outstanding Balance of all Eligible Receivables then in the Receivables Pool;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(xii) the excess (if any) of (x) the aggregate Outstanding Balance of the Eligible Receivables the Obligors for which are Tier III Eligible Foreign Obligors that have a billing address in any single country, </w:t>
      </w:r>
      <w:r>
        <w:rPr>
          <w:rFonts w:ascii="Times New Roman" w:hAnsi="Times New Roman"/>
          <w:sz w:val="20"/>
          <w:u w:val="single"/>
        </w:rPr>
        <w:t>over</w:t>
      </w:r>
      <w:r>
        <w:rPr>
          <w:rFonts w:ascii="Times New Roman" w:hAnsi="Times New Roman"/>
          <w:sz w:val="20"/>
        </w:rPr>
        <w:t xml:space="preserve"> (y) the product of (A) 2.50%, </w:t>
      </w:r>
      <w:r>
        <w:rPr>
          <w:rFonts w:ascii="Times New Roman" w:hAnsi="Times New Roman"/>
          <w:sz w:val="20"/>
          <w:u w:val="single"/>
        </w:rPr>
        <w:t>multiplied</w:t>
      </w:r>
      <w:r>
        <w:rPr>
          <w:rFonts w:ascii="Times New Roman" w:hAnsi="Times New Roman"/>
          <w:sz w:val="20"/>
        </w:rPr>
        <w:t xml:space="preserve"> </w:t>
      </w:r>
      <w:r>
        <w:rPr>
          <w:rFonts w:ascii="Times New Roman" w:hAnsi="Times New Roman"/>
          <w:sz w:val="20"/>
          <w:u w:val="single"/>
        </w:rPr>
        <w:t>by</w:t>
      </w:r>
      <w:r>
        <w:rPr>
          <w:rFonts w:ascii="Times New Roman" w:hAnsi="Times New Roman"/>
          <w:sz w:val="20"/>
        </w:rPr>
        <w:t xml:space="preserve"> (B) the aggregate Outstanding Balance of all Eligible Receivables then in the Receivables Pool</w:t>
      </w:r>
      <w:r>
        <w:rPr>
          <w:rFonts w:ascii="Times New Roman" w:hAnsi="Times New Roman"/>
          <w:strike/>
          <w:color w:val="FF0000"/>
          <w:sz w:val="20"/>
        </w:rPr>
        <w:t>.</w:t>
      </w:r>
      <w:r>
        <w:rPr>
          <w:rFonts w:ascii="Times New Roman" w:hAnsi="Times New Roman"/>
          <w:color w:val="0000FF"/>
          <w:sz w:val="20"/>
          <w:u w:val="single"/>
          <w:bdr w:val="double" w:sz="2" w:space="1" w:color="000000"/>
        </w:rPr>
        <w:t>; plus</w:t>
      </w:r>
      <w:r>
        <w:rPr>
          <w:rFonts w:ascii="Times New Roman" w:hAnsi="Times New Roman"/>
          <w:sz w:val="20"/>
        </w:rPr>
        <w:t xml:space="preserve"> </w:t>
      </w:r>
    </w:p>
    <w:p>
      <w:pPr>
        <w:pStyle w:val="TextBody"/>
        <w:bidi w:val="0"/>
        <w:spacing w:before="12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(xiii) the excess (if any) of (x) the aggregate Outstanding Balance of all Pool Receivables that are SG Receivables, over (y) the product of (A) 15.00%, multiplied by (B) the aggregate Outstanding Balance of all Pool Receivables.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Administrative Agent may, upon five (5) Business Days’ written notice to the Borrower, reduce (including to zero) any of the percentage limits set forth in </w:t>
      </w:r>
      <w:r>
        <w:rPr>
          <w:rFonts w:ascii="Times New Roman" w:hAnsi="Times New Roman"/>
          <w:sz w:val="20"/>
          <w:u w:val="single"/>
        </w:rPr>
        <w:t>clauses (iii)</w:t>
      </w:r>
      <w:r>
        <w:rPr>
          <w:rFonts w:ascii="Times New Roman" w:hAnsi="Times New Roman"/>
          <w:sz w:val="20"/>
        </w:rPr>
        <w:t xml:space="preserve"> to </w:t>
      </w:r>
      <w:r>
        <w:rPr>
          <w:rFonts w:ascii="Times New Roman" w:hAnsi="Times New Roman"/>
          <w:sz w:val="20"/>
          <w:u w:val="single"/>
        </w:rPr>
        <w:t>(xii)</w:t>
      </w:r>
      <w:r>
        <w:rPr>
          <w:rFonts w:ascii="Times New Roman" w:hAnsi="Times New Roman"/>
          <w:sz w:val="20"/>
        </w:rPr>
        <w:t xml:space="preserve"> above.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means the Securities Exchange Act of 1934. </w:t>
      </w:r>
    </w:p>
    <w:p>
      <w:pPr>
        <w:pStyle w:val="TextBody"/>
        <w:bidi w:val="0"/>
        <w:spacing w:before="240" w:after="0"/>
        <w:jc w:val="left"/>
        <w:rPr/>
      </w:pPr>
      <w:r>
        <w:rPr/>
        <w:t>“</w:t>
      </w:r>
      <w:r>
        <w:rPr>
          <w:rFonts w:ascii="Times New Roman" w:hAnsi="Times New Roman"/>
          <w:sz w:val="20"/>
          <w:u w:val="single"/>
        </w:rPr>
        <w:t>Excluded Receivable</w:t>
      </w:r>
      <w:r>
        <w:rPr>
          <w:rFonts w:ascii="Times New Roman" w:hAnsi="Times New Roman"/>
          <w:sz w:val="20"/>
        </w:rPr>
        <w:t xml:space="preserve">” means any Receivable (as defined without giving effect to the </w:t>
      </w:r>
      <w:r>
        <w:rPr>
          <w:rFonts w:ascii="Times New Roman" w:hAnsi="Times New Roman"/>
          <w:i/>
          <w:sz w:val="20"/>
        </w:rPr>
        <w:t>proviso</w:t>
      </w:r>
      <w:r>
        <w:rPr>
          <w:rFonts w:ascii="Times New Roman" w:hAnsi="Times New Roman"/>
          <w:sz w:val="20"/>
        </w:rPr>
        <w:t xml:space="preserve"> in the definition thereof) which is (i) </w:t>
      </w:r>
      <w:r>
        <w:rPr>
          <w:rFonts w:ascii="Times New Roman" w:hAnsi="Times New Roman"/>
          <w:strike/>
          <w:color w:val="FF0000"/>
          <w:sz w:val="20"/>
        </w:rPr>
        <w:t>an AirCentre Receivable; (ii) </w:t>
      </w:r>
      <w:r>
        <w:rPr>
          <w:rFonts w:ascii="Times New Roman" w:hAnsi="Times New Roman"/>
          <w:sz w:val="20"/>
        </w:rPr>
        <w:t>a Subscriber Receivable or (</w:t>
      </w:r>
      <w:r>
        <w:rPr>
          <w:rFonts w:ascii="Times New Roman" w:hAnsi="Times New Roman"/>
          <w:strike/>
          <w:color w:val="FF0000"/>
          <w:sz w:val="20"/>
        </w:rPr>
        <w:t>iii</w:t>
      </w:r>
      <w:r>
        <w:rPr>
          <w:rFonts w:ascii="Times New Roman" w:hAnsi="Times New Roman"/>
          <w:color w:val="0000FF"/>
          <w:sz w:val="20"/>
          <w:u w:val="single"/>
          <w:bdr w:val="double" w:sz="2" w:space="1" w:color="000000"/>
        </w:rPr>
        <w:t>ii</w:t>
      </w:r>
      <w:r>
        <w:rPr>
          <w:rFonts w:ascii="Times New Roman" w:hAnsi="Times New Roman"/>
          <w:sz w:val="20"/>
        </w:rPr>
        <w:t xml:space="preserve"> ) Restricted Non-U.S. Law Receivables. No Excluded Receivable shall subsequently become a Receivable and no Receivable shall subsequently become an Excluded Receivable. </w:t>
      </w:r>
    </w:p>
    <w:p>
      <w:pPr>
        <w:pStyle w:val="TextBody"/>
        <w:bidi w:val="0"/>
        <w:spacing w:before="240" w:after="0"/>
        <w:jc w:val="left"/>
        <w:rPr/>
      </w:pPr>
      <w:r>
        <w:rPr/>
        <w:t>“</w:t>
      </w:r>
      <w:r>
        <w:rPr>
          <w:rFonts w:ascii="Times New Roman" w:hAnsi="Times New Roman"/>
          <w:sz w:val="20"/>
          <w:u w:val="single"/>
        </w:rPr>
        <w:t>Excluded Taxes</w:t>
      </w:r>
      <w:r>
        <w:rPr>
          <w:rFonts w:ascii="Times New Roman" w:hAnsi="Times New Roman"/>
          <w:sz w:val="20"/>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such Loan or Commitment or (ii) such Lender changes its lending office, except in each case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extent that, pursuant to </w:t>
      </w:r>
      <w:r>
        <w:rPr>
          <w:rFonts w:ascii="Times New Roman" w:hAnsi="Times New Roman"/>
          <w:sz w:val="20"/>
          <w:u w:val="single"/>
        </w:rPr>
        <w:t>Section 4.03</w:t>
      </w:r>
      <w:r>
        <w:rPr>
          <w:rFonts w:ascii="Times New Roman" w:hAnsi="Times New Roman"/>
          <w:sz w:val="20"/>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hAnsi="Times New Roman"/>
          <w:sz w:val="20"/>
          <w:u w:val="single"/>
        </w:rPr>
        <w:t>Section 4.03(g)</w:t>
      </w:r>
      <w:r>
        <w:rPr>
          <w:rFonts w:ascii="Times New Roman" w:hAnsi="Times New Roman"/>
          <w:sz w:val="20"/>
        </w:rPr>
        <w:t xml:space="preserve">, and (d) any withholding Taxes imposed under FATCA. </w:t>
      </w:r>
    </w:p>
    <w:p>
      <w:pPr>
        <w:pStyle w:val="TextBody"/>
        <w:bidi w:val="0"/>
        <w:spacing w:before="240" w:after="0"/>
        <w:jc w:val="left"/>
        <w:rPr/>
      </w:pPr>
      <w:r>
        <w:rPr/>
        <w:t>“</w:t>
      </w:r>
      <w:r>
        <w:rPr>
          <w:rFonts w:ascii="Times New Roman" w:hAnsi="Times New Roman"/>
          <w:sz w:val="20"/>
          <w:u w:val="single"/>
        </w:rPr>
        <w:t>Facility Limit</w:t>
      </w:r>
      <w:r>
        <w:rPr>
          <w:rFonts w:ascii="Times New Roman" w:hAnsi="Times New Roman"/>
          <w:sz w:val="20"/>
        </w:rPr>
        <w:t xml:space="preserve">” means the sum of the Class A Facility Limit and the Class B Facility Limit. References to the unused portion of the Facility Limit mean, at any time, an amount equal to (x) the Facility Limit at such time, </w:t>
      </w:r>
      <w:r>
        <w:rPr>
          <w:rFonts w:ascii="Times New Roman" w:hAnsi="Times New Roman"/>
          <w:sz w:val="20"/>
          <w:u w:val="single"/>
        </w:rPr>
        <w:t>minus</w:t>
      </w:r>
      <w:r>
        <w:rPr>
          <w:rFonts w:ascii="Times New Roman" w:hAnsi="Times New Roman"/>
          <w:sz w:val="20"/>
        </w:rPr>
        <w:t xml:space="preserve"> (y) the Aggregate Principal at such time. </w:t>
      </w:r>
    </w:p>
    <w:p>
      <w:pPr>
        <w:pStyle w:val="TextBody"/>
        <w:bidi w:val="0"/>
        <w:spacing w:before="240" w:after="0"/>
        <w:jc w:val="left"/>
        <w:rPr/>
      </w:pPr>
      <w:r>
        <w:rPr/>
        <w:t>“</w:t>
      </w:r>
      <w:r>
        <w:rPr>
          <w:rFonts w:ascii="Times New Roman" w:hAnsi="Times New Roman"/>
          <w:sz w:val="20"/>
          <w:u w:val="single"/>
        </w:rPr>
        <w:t>FATCA</w:t>
      </w:r>
      <w:r>
        <w:rPr>
          <w:rFonts w:ascii="Times New Roman" w:hAnsi="Times New Roman"/>
          <w:sz w:val="20"/>
        </w:rPr>
        <w:t xml:space="preserve">”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 </w:t>
      </w:r>
    </w:p>
    <w:p>
      <w:pPr>
        <w:pStyle w:val="TextBody"/>
        <w:bidi w:val="0"/>
        <w:spacing w:before="240" w:after="0"/>
        <w:jc w:val="left"/>
        <w:rPr/>
      </w:pPr>
      <w:r>
        <w:rPr/>
        <w:t>“</w:t>
      </w:r>
      <w:r>
        <w:rPr>
          <w:rFonts w:ascii="Times New Roman" w:hAnsi="Times New Roman"/>
          <w:sz w:val="20"/>
          <w:u w:val="single"/>
        </w:rPr>
        <w:t>Federal Reserve Board</w:t>
      </w:r>
      <w:r>
        <w:rPr>
          <w:rFonts w:ascii="Times New Roman" w:hAnsi="Times New Roman"/>
          <w:sz w:val="20"/>
        </w:rPr>
        <w:t xml:space="preserve">” means the Board of Governors of the Federal Reserve System, or any entity succeeding to any of its principal functions. </w:t>
      </w:r>
    </w:p>
    <w:p>
      <w:pPr>
        <w:pStyle w:val="TextBody"/>
        <w:bidi w:val="0"/>
        <w:spacing w:before="240" w:after="0"/>
        <w:jc w:val="left"/>
        <w:rPr/>
      </w:pPr>
      <w:r>
        <w:rPr/>
        <w:t>“</w:t>
      </w:r>
      <w:r>
        <w:rPr>
          <w:rFonts w:ascii="Times New Roman" w:hAnsi="Times New Roman"/>
          <w:sz w:val="20"/>
          <w:u w:val="single"/>
        </w:rPr>
        <w:t>Fee Letter</w:t>
      </w:r>
      <w:r>
        <w:rPr>
          <w:rFonts w:ascii="Times New Roman" w:hAnsi="Times New Roman"/>
          <w:sz w:val="20"/>
        </w:rPr>
        <w:t xml:space="preserve">” has the meaning specified in </w:t>
      </w:r>
      <w:r>
        <w:rPr>
          <w:rFonts w:ascii="Times New Roman" w:hAnsi="Times New Roman"/>
          <w:sz w:val="20"/>
          <w:u w:val="single"/>
        </w:rPr>
        <w:t>Section 2.03(a)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Fees</w:t>
      </w:r>
      <w:r>
        <w:rPr>
          <w:rFonts w:ascii="Times New Roman" w:hAnsi="Times New Roman"/>
          <w:sz w:val="20"/>
        </w:rPr>
        <w:t xml:space="preserve">” has the meaning specified in </w:t>
      </w:r>
      <w:r>
        <w:rPr>
          <w:rFonts w:ascii="Times New Roman" w:hAnsi="Times New Roman"/>
          <w:sz w:val="20"/>
          <w:u w:val="single"/>
        </w:rPr>
        <w:t>Section 2.03(a)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Final Maturity Date</w:t>
      </w:r>
      <w:r>
        <w:rPr>
          <w:rFonts w:ascii="Times New Roman" w:hAnsi="Times New Roman"/>
          <w:sz w:val="20"/>
        </w:rPr>
        <w:t xml:space="preserve">” means the Class A Final Maturity Date or Class B Final Maturity Date, as applicable. </w:t>
      </w:r>
    </w:p>
    <w:p>
      <w:pPr>
        <w:pStyle w:val="TextBody"/>
        <w:bidi w:val="0"/>
        <w:spacing w:before="240" w:after="0"/>
        <w:jc w:val="left"/>
        <w:rPr/>
      </w:pPr>
      <w:r>
        <w:rPr/>
        <w:t>“</w:t>
      </w:r>
      <w:r>
        <w:rPr>
          <w:rFonts w:ascii="Times New Roman" w:hAnsi="Times New Roman"/>
          <w:sz w:val="20"/>
          <w:u w:val="single"/>
        </w:rPr>
        <w:t>Final Payout Date</w:t>
      </w:r>
      <w:r>
        <w:rPr>
          <w:rFonts w:ascii="Times New Roman" w:hAnsi="Times New Roman"/>
          <w:sz w:val="20"/>
        </w:rPr>
        <w:t xml:space="preserve">” means the date on or after the Termination Date when (i) the Aggregate Principal and Aggregate Interest have been paid in full, (ii) all Borrower Obligations shall have been paid in full, (iii) all other amounts owing to the Secured Parties hereunder and under the other Transaction Documents have been paid in full and (iv) all accrued Servicing Fees have been paid in full. </w:t>
      </w:r>
    </w:p>
    <w:p>
      <w:pPr>
        <w:pStyle w:val="TextBody"/>
        <w:bidi w:val="0"/>
        <w:spacing w:before="240" w:after="0"/>
        <w:jc w:val="left"/>
        <w:rPr/>
      </w:pPr>
      <w:r>
        <w:rPr/>
        <w:t>“</w:t>
      </w:r>
      <w:r>
        <w:rPr>
          <w:rFonts w:ascii="Times New Roman" w:hAnsi="Times New Roman"/>
          <w:sz w:val="20"/>
          <w:u w:val="single"/>
        </w:rPr>
        <w:t>Financial Covenant Event</w:t>
      </w:r>
      <w:r>
        <w:rPr>
          <w:rFonts w:ascii="Times New Roman" w:hAnsi="Times New Roman"/>
          <w:sz w:val="20"/>
        </w:rPr>
        <w:t xml:space="preserve">” shall be deemed to have occurred if the Liquidity as of </w:t>
      </w:r>
      <w:r>
        <w:rPr>
          <w:rFonts w:ascii="Times New Roman" w:hAnsi="Times New Roman"/>
          <w:strike/>
          <w:color w:val="FF0000"/>
          <w:sz w:val="20"/>
        </w:rPr>
        <w:t xml:space="preserve">the </w:t>
      </w:r>
      <w:r>
        <w:rPr>
          <w:rFonts w:ascii="Times New Roman" w:hAnsi="Times New Roman"/>
          <w:sz w:val="20"/>
        </w:rPr>
        <w:t xml:space="preserve">any day of Parent and its Subsidiaries is an amount less than (a) $100,000,000 on any day prior to (and not including) the first anniversary of the Closing Date, (b) $150,000,000 on any day from the first anniversary of the Closing Date to (and not including) the second anniversary of the Closing Date or (c) $200,000,000 on any day on and after the second anniversary of the Closing Date. </w:t>
      </w:r>
    </w:p>
    <w:p>
      <w:pPr>
        <w:pStyle w:val="TextBody"/>
        <w:bidi w:val="0"/>
        <w:spacing w:before="240" w:after="0"/>
        <w:jc w:val="left"/>
        <w:rPr/>
      </w:pPr>
      <w:r>
        <w:rPr/>
        <w:t>“</w:t>
      </w:r>
      <w:r>
        <w:rPr>
          <w:rFonts w:ascii="Times New Roman" w:hAnsi="Times New Roman"/>
          <w:sz w:val="20"/>
          <w:u w:val="single"/>
        </w:rPr>
        <w:t>First Amendment Date</w:t>
      </w:r>
      <w:r>
        <w:rPr>
          <w:rFonts w:ascii="Times New Roman" w:hAnsi="Times New Roman"/>
          <w:sz w:val="20"/>
        </w:rPr>
        <w:t xml:space="preserve">” means March 29, 2024. </w:t>
      </w:r>
    </w:p>
    <w:p>
      <w:pPr>
        <w:pStyle w:val="TextBody"/>
        <w:bidi w:val="0"/>
        <w:spacing w:before="240" w:after="0"/>
        <w:jc w:val="left"/>
        <w:rPr/>
      </w:pPr>
      <w:r>
        <w:rPr/>
        <w:t>“</w:t>
      </w:r>
      <w:r>
        <w:rPr>
          <w:rFonts w:ascii="Times New Roman" w:hAnsi="Times New Roman"/>
          <w:sz w:val="20"/>
          <w:u w:val="single"/>
        </w:rPr>
        <w:t>Fiscal Month</w:t>
      </w:r>
      <w:r>
        <w:rPr>
          <w:rFonts w:ascii="Times New Roman" w:hAnsi="Times New Roman"/>
          <w:sz w:val="20"/>
        </w:rPr>
        <w:t xml:space="preserve">” means each calendar month. </w:t>
      </w:r>
    </w:p>
    <w:p>
      <w:pPr>
        <w:pStyle w:val="TextBody"/>
        <w:bidi w:val="0"/>
        <w:spacing w:before="240" w:after="0"/>
        <w:jc w:val="left"/>
        <w:rPr/>
      </w:pPr>
      <w:r>
        <w:rPr/>
        <w:t>“</w:t>
      </w:r>
      <w:r>
        <w:rPr>
          <w:rFonts w:ascii="Times New Roman" w:hAnsi="Times New Roman"/>
          <w:sz w:val="20"/>
          <w:u w:val="single"/>
        </w:rPr>
        <w:t>Foreign Currency Reserve Percentage</w:t>
      </w:r>
      <w:r>
        <w:rPr>
          <w:rFonts w:ascii="Times New Roman" w:hAnsi="Times New Roman"/>
          <w:sz w:val="20"/>
        </w:rPr>
        <w:t xml:space="preserve">” means, at any time of determination, the sum for each Alternative Currency of the quotient, expressed as a percentage, of (a) the product of (i) the Outstanding Balance of all Receivables denominated in such Alternative Currency multiplied by (ii) the VaR Percentage for such Alternative Currency, divided by (b) the Net Receivables Pool Balance.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Foreign Lender</w:t>
      </w:r>
      <w:r>
        <w:rPr>
          <w:rFonts w:ascii="Times New Roman" w:hAnsi="Times New Roman"/>
          <w:sz w:val="20"/>
        </w:rPr>
        <w:t xml:space="preserve">” means (i) if the Borrower is a U.S. Person, a Lender that is not a U.S. Person, and (ii) if the Borrower is not a U.S. Person, a Lender that is resident or organized under the Laws of a jurisdiction other than that in which the Borrower is resident for tax purposes. </w:t>
      </w:r>
    </w:p>
    <w:p>
      <w:pPr>
        <w:pStyle w:val="TextBody"/>
        <w:bidi w:val="0"/>
        <w:spacing w:before="240" w:after="0"/>
        <w:jc w:val="left"/>
        <w:rPr/>
      </w:pPr>
      <w:r>
        <w:rPr/>
        <w:t>“</w:t>
      </w:r>
      <w:r>
        <w:rPr>
          <w:rFonts w:ascii="Times New Roman" w:hAnsi="Times New Roman"/>
          <w:sz w:val="20"/>
          <w:u w:val="single"/>
        </w:rPr>
        <w:t>Fund</w:t>
      </w:r>
      <w:r>
        <w:rPr>
          <w:rFonts w:ascii="Times New Roman" w:hAnsi="Times New Roman"/>
          <w:sz w:val="20"/>
        </w:rPr>
        <w:t xml:space="preserve">” means any Person (other than a natural Person) that is (or will be) engaged in making, purchasing, holding or otherwise investing in commercial loans, bonds and similar extensions of credit in the ordinary course of its activities.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means generally accepted accounting principles as are in effect from time to time, subject to the provisions of Section</w:t>
      </w:r>
      <w:r>
        <w:rPr>
          <w:rFonts w:ascii="Times New Roman" w:hAnsi="Times New Roman"/>
          <w:strike/>
          <w:color w:val="FF0000"/>
          <w:sz w:val="20"/>
          <w:u w:val="single"/>
        </w:rPr>
        <w:t>  1.3</w:t>
      </w:r>
      <w:r>
        <w:rPr>
          <w:rFonts w:ascii="Times New Roman" w:hAnsi="Times New Roman"/>
          <w:color w:val="0000FF"/>
          <w:sz w:val="20"/>
          <w:u w:val="single"/>
          <w:bdr w:val="double" w:sz="2" w:space="1" w:color="000000"/>
        </w:rPr>
        <w:t>1.03</w:t>
      </w:r>
      <w:r>
        <w:rPr>
          <w:rFonts w:ascii="Times New Roman" w:hAnsi="Times New Roman"/>
          <w:sz w:val="20"/>
        </w:rPr>
        <w:t xml:space="preserve">, and applied on a consistent basis both as to classification of items and amounts. </w:t>
      </w:r>
    </w:p>
    <w:p>
      <w:pPr>
        <w:pStyle w:val="TextBody"/>
        <w:bidi w:val="0"/>
        <w:spacing w:before="240" w:after="0"/>
        <w:jc w:val="left"/>
        <w:rPr/>
      </w:pPr>
      <w:r>
        <w:rPr>
          <w:strike/>
          <w:color w:val="FF0000"/>
        </w:rPr>
        <w:t>“</w:t>
      </w:r>
      <w:r>
        <w:rPr>
          <w:rFonts w:ascii="Times New Roman" w:hAnsi="Times New Roman"/>
          <w:strike/>
          <w:color w:val="FF0000"/>
          <w:sz w:val="20"/>
          <w:u w:val="single"/>
        </w:rPr>
        <w:t>GetThere Receivable</w:t>
      </w:r>
      <w:r>
        <w:rPr>
          <w:rFonts w:ascii="Times New Roman" w:hAnsi="Times New Roman"/>
          <w:strike/>
          <w:color w:val="FF0000"/>
          <w:sz w:val="20"/>
        </w:rPr>
        <w:t>” means each Receivable owing to GetThere L.P. that are serviced by the Servicers, including pursuant to a transition services agreement if GetThere L.P. is no longer an Affiliate, all of which the Servicer has assigned a customer identification number that begins with the letters “BT” in Sabre’s reporting system, in each case, based on Sabre’s reporting practices as of the Second Amendment Effective Date.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Governmental Authority</w:t>
      </w:r>
      <w:r>
        <w:rPr>
          <w:rFonts w:ascii="Times New Roman" w:hAnsi="Times New Roman"/>
          <w:sz w:val="20"/>
        </w:rPr>
        <w:t xml:space="preserve">” means the government of the United States of America or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w:t>
      </w:r>
    </w:p>
    <w:p>
      <w:pPr>
        <w:pStyle w:val="TextBody"/>
        <w:bidi w:val="0"/>
        <w:spacing w:before="240" w:after="0"/>
        <w:jc w:val="left"/>
        <w:rPr/>
      </w:pPr>
      <w:r>
        <w:rPr/>
        <w:t>“</w:t>
      </w:r>
      <w:r>
        <w:rPr>
          <w:rFonts w:ascii="Times New Roman" w:hAnsi="Times New Roman"/>
          <w:sz w:val="20"/>
          <w:u w:val="single"/>
        </w:rPr>
        <w:t>Group A Obligor</w:t>
      </w:r>
      <w:r>
        <w:rPr>
          <w:rFonts w:ascii="Times New Roman" w:hAnsi="Times New Roman"/>
          <w:sz w:val="20"/>
        </w:rPr>
        <w:t>,” “</w:t>
      </w:r>
      <w:r>
        <w:rPr>
          <w:rFonts w:ascii="Times New Roman" w:hAnsi="Times New Roman"/>
          <w:sz w:val="20"/>
          <w:u w:val="single"/>
        </w:rPr>
        <w:t>Group B Obligor</w:t>
      </w:r>
      <w:r>
        <w:rPr>
          <w:rFonts w:ascii="Times New Roman" w:hAnsi="Times New Roman"/>
          <w:sz w:val="20"/>
        </w:rPr>
        <w:t>” or “</w:t>
      </w:r>
      <w:r>
        <w:rPr>
          <w:rFonts w:ascii="Times New Roman" w:hAnsi="Times New Roman"/>
          <w:sz w:val="20"/>
          <w:u w:val="single"/>
        </w:rPr>
        <w:t>Group C Obligor</w:t>
      </w:r>
      <w:r>
        <w:rPr>
          <w:rFonts w:ascii="Times New Roman" w:hAnsi="Times New Roman"/>
          <w:sz w:val="20"/>
        </w:rPr>
        <w:t xml:space="preserve">” means any Obligor (or its parent or majority owner, as applicable, if such Obligor is not rated) with: </w:t>
      </w:r>
    </w:p>
    <w:p>
      <w:pPr>
        <w:pStyle w:val="TextBody"/>
        <w:bidi w:val="0"/>
        <w:spacing w:before="120" w:after="0"/>
        <w:jc w:val="left"/>
        <w:rPr>
          <w:rFonts w:ascii="Times New Roman" w:hAnsi="Times New Roman"/>
          <w:sz w:val="20"/>
        </w:rPr>
      </w:pPr>
      <w:r>
        <w:rPr>
          <w:rFonts w:ascii="Times New Roman" w:hAnsi="Times New Roman"/>
          <w:sz w:val="20"/>
        </w:rPr>
        <w:t xml:space="preserve">(a) a short-term rating of at least “A-1” (in the case of a Group A Obligor), “A-2” (in the case of a Group B Obligor) or “A-3” (in the case of a Group C Obligor), in any case, by S&amp;P, or if such Obligor does not have a short-term rating from S&amp;P, a rating of at least “A+” (in the case of a Group A Obligor), “BBB+” (in the case of a Group B Obligor) or “BBB-” (in the case of a Group C Obligor), in any case, or better by S&amp;P on such Obligor’s, its parent’s, or its majority owner’s (as applicable) long-term senior unsecured and uncredit-enhanced debt securities, </w:t>
      </w:r>
      <w:r>
        <w:rPr>
          <w:rFonts w:ascii="Times New Roman" w:hAnsi="Times New Roman"/>
          <w:sz w:val="20"/>
          <w:u w:val="single"/>
        </w:rPr>
        <w:t>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a short-term rating of at least “P-1” (in the case of a Group A Obligor), “P-2” (in the case of a Group B Obligor) or “P-3” (in the case of a Group C Obligor), in any case, by Moody’s, or if such Obligor does not have a short-term rating from Moody’s, a rating of at least “A1” (in the case of a Group A Obligor), “Baa1” (in the case of a Group B Obligor) or “Baa3” (in the case of a Group C Obligor), in any case, or better by Moody’s on such Obligor’s, its parent’s or its majority owner’s (as applicable) long-term senior unsecured and uncredit-enhanced debt securities;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if such Obligor is rated by only one of S&amp;P or Moody’s, then such Obligor will be a Group A Obligor, Group B Obligor or Group C Obligor (as the case may be) if it satisfies either </w:t>
      </w:r>
      <w:r>
        <w:rPr>
          <w:rFonts w:ascii="Times New Roman" w:hAnsi="Times New Roman"/>
          <w:sz w:val="20"/>
          <w:u w:val="single"/>
        </w:rPr>
        <w:t>clause (a)</w:t>
      </w:r>
      <w:r>
        <w:rPr>
          <w:rFonts w:ascii="Times New Roman" w:hAnsi="Times New Roman"/>
          <w:sz w:val="20"/>
        </w:rPr>
        <w:t xml:space="preserve"> or </w:t>
      </w:r>
      <w:r>
        <w:rPr>
          <w:rFonts w:ascii="Times New Roman" w:hAnsi="Times New Roman"/>
          <w:sz w:val="20"/>
          <w:u w:val="single"/>
        </w:rPr>
        <w:t>clause (b)</w:t>
      </w:r>
      <w:r>
        <w:rPr>
          <w:rFonts w:ascii="Times New Roman" w:hAnsi="Times New Roman"/>
          <w:sz w:val="20"/>
        </w:rPr>
        <w:t xml:space="preserve"> above;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such Obligor (or its parent or majority owner, as applicable, if such Obligor is not rated) has split ratings from S&amp;P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Moody’s, then such Obligor (or its parent or majority owner, as applicable) shall be deemed to have only the lower of (or, solely with respect to Delta Air Lines, Inc., the higher of) the two ratings for the purpose of determining whether such Obligor satisfies </w:t>
      </w:r>
      <w:r>
        <w:rPr>
          <w:rFonts w:ascii="Times New Roman" w:hAnsi="Times New Roman"/>
          <w:sz w:val="20"/>
          <w:u w:val="single"/>
        </w:rPr>
        <w:t>clause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above. Notwithstanding the foregoing, any Obligor that is a Subsidiary of an Obligor that satisfies the definition of Group A Obligor, Group B Obligor or Group C Obligor (as the case may be) shall be deemed to be a Group A Obligor, Group B Obligor or Group C Obligor (as the case may be) and shall be aggregated with its parent Obligor that satisfies such definition for the purposes of determining the “Concentration Reserve Percentage” unless such Subsidiary Obligor separately satisfies the definition of Group A Obligor, Group B Obligor or Group C Obligor (as the case may be), in which case such Obligor shall be separately treated as a Group A Obligor, Group B Obligor or Group C Obligor (as the case may be), as the case may be, and shall be aggregated and combined for such purposes with any of its Subsidiaries that are also Obligors. </w:t>
      </w:r>
    </w:p>
    <w:p>
      <w:pPr>
        <w:pStyle w:val="TextBody"/>
        <w:bidi w:val="0"/>
        <w:spacing w:before="240" w:after="0"/>
        <w:jc w:val="left"/>
        <w:rPr/>
      </w:pPr>
      <w:r>
        <w:rPr/>
        <w:t>“</w:t>
      </w:r>
      <w:r>
        <w:rPr>
          <w:rFonts w:ascii="Times New Roman" w:hAnsi="Times New Roman"/>
          <w:sz w:val="20"/>
          <w:u w:val="single"/>
        </w:rPr>
        <w:t>Group D Obligor</w:t>
      </w:r>
      <w:r>
        <w:rPr>
          <w:rFonts w:ascii="Times New Roman" w:hAnsi="Times New Roman"/>
          <w:sz w:val="20"/>
        </w:rPr>
        <w:t xml:space="preserve">” means any Obligor that is not a Group A Obligor, Group B Obligor or Group C Obligor; </w:t>
      </w:r>
      <w:r>
        <w:rPr>
          <w:rFonts w:ascii="Times New Roman" w:hAnsi="Times New Roman"/>
          <w:sz w:val="20"/>
          <w:u w:val="single"/>
        </w:rPr>
        <w:t>provided</w:t>
      </w:r>
      <w:r>
        <w:rPr>
          <w:rFonts w:ascii="Times New Roman" w:hAnsi="Times New Roman"/>
          <w:sz w:val="20"/>
        </w:rPr>
        <w:t xml:space="preserve">, that any Obligor (or its parent or majority owner, as applicable, if such Obligor is unrated) that is unrated by both Moody’s and S&amp;P shall be a Group D Obligor. </w:t>
      </w:r>
    </w:p>
    <w:p>
      <w:pPr>
        <w:pStyle w:val="TextBody"/>
        <w:bidi w:val="0"/>
        <w:spacing w:before="240" w:after="0"/>
        <w:jc w:val="left"/>
        <w:rPr/>
      </w:pPr>
      <w:r>
        <w:rPr/>
        <w:t>“</w:t>
      </w:r>
      <w:r>
        <w:rPr>
          <w:rFonts w:ascii="Times New Roman" w:hAnsi="Times New Roman"/>
          <w:sz w:val="20"/>
          <w:u w:val="single"/>
        </w:rPr>
        <w:t>Guaranty</w:t>
      </w:r>
      <w:r>
        <w:rPr>
          <w:rFonts w:ascii="Times New Roman" w:hAnsi="Times New Roman"/>
          <w:sz w:val="20"/>
        </w:rPr>
        <w:t xml:space="preserve">” means, with respect to any Person, any obligation of such Person guaranteeing or in effect guaranteeing any liability or obligation of any other Person in any manner, whether directly or indirectly. The amount of obligations under a Guaranty shall be deemed to be an amount equal to the stated or determinable amount of the related primary obligation, or portion thereof, in respect of which such Guaranty is made or, if not stated or determinable, the maximum reasonably anticipated liability in respect thereof as determined by the Administrative Agent in good faith. </w:t>
      </w:r>
    </w:p>
    <w:p>
      <w:pPr>
        <w:pStyle w:val="TextBody"/>
        <w:bidi w:val="0"/>
        <w:spacing w:before="240" w:after="0"/>
        <w:jc w:val="left"/>
        <w:rPr/>
      </w:pPr>
      <w:r>
        <w:rPr>
          <w:strike/>
          <w:color w:val="FF0000"/>
        </w:rPr>
        <w:t>“</w:t>
      </w:r>
      <w:r>
        <w:rPr>
          <w:rFonts w:ascii="Times New Roman" w:hAnsi="Times New Roman"/>
          <w:strike/>
          <w:color w:val="FF0000"/>
          <w:sz w:val="20"/>
          <w:u w:val="single"/>
        </w:rPr>
        <w:t>IHS Receivable</w:t>
      </w:r>
      <w:r>
        <w:rPr>
          <w:rFonts w:ascii="Times New Roman" w:hAnsi="Times New Roman"/>
          <w:strike/>
          <w:color w:val="FF0000"/>
          <w:sz w:val="20"/>
        </w:rPr>
        <w:t>” means each Receivable owing to IHS US Inc. that are serviced by the Servicers, including pursuant to a transition services agreement if IHS US Inc. is no longer an Affiliate, all of which the Servicer has assigned (i) a customer group field designation of “SH”, and (ii) a contract account category field marked as “HS”, division field “30”, in Sabre’s customer master record, in each case, based on Sabre’s reporting practices as of the Third Amendment Effective Date.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Indebtedness</w:t>
      </w:r>
      <w:r>
        <w:rPr>
          <w:rFonts w:ascii="Times New Roman" w:hAnsi="Times New Roman"/>
          <w:sz w:val="20"/>
        </w:rPr>
        <w:t xml:space="preserve">” means, as to any Person at any time, without duplication, all of the following, whether or not included as indebtedness or liabilities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(a) all obligations of such Person for borrowed money and all obligations of such Person evidenced by bonds, debentures, notes, loan agreements or other similar instruments; </w:t>
      </w:r>
    </w:p>
    <w:p>
      <w:pPr>
        <w:pStyle w:val="TextBody"/>
        <w:bidi w:val="0"/>
        <w:spacing w:before="120" w:after="0"/>
        <w:jc w:val="left"/>
        <w:rPr>
          <w:rFonts w:ascii="Times New Roman" w:hAnsi="Times New Roman"/>
          <w:sz w:val="20"/>
        </w:rPr>
      </w:pPr>
      <w:r>
        <w:rPr>
          <w:rFonts w:ascii="Times New Roman" w:hAnsi="Times New Roman"/>
          <w:sz w:val="20"/>
        </w:rPr>
        <w:t xml:space="preserve">(b) the maximum amount (after giving effect to any prior drawings or reductions which may have been reimbursed) of all letters of credit (including standby and commercial letters of credit), bankers’ acceptances, bank guaranties, surety bonds, performance bonds and similar instruments issued or created by or for the account of such Person; </w:t>
      </w:r>
    </w:p>
    <w:p>
      <w:pPr>
        <w:pStyle w:val="TextBody"/>
        <w:bidi w:val="0"/>
        <w:spacing w:before="120" w:after="0"/>
        <w:jc w:val="left"/>
        <w:rPr>
          <w:rFonts w:ascii="Times New Roman" w:hAnsi="Times New Roman"/>
          <w:sz w:val="20"/>
        </w:rPr>
      </w:pPr>
      <w:r>
        <w:rPr>
          <w:rFonts w:ascii="Times New Roman" w:hAnsi="Times New Roman"/>
          <w:sz w:val="20"/>
        </w:rPr>
        <w:t xml:space="preserve">(c) net obligations of such Person under any Swap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all obligations of such Person to pay the deferred purchase price of property (other than (i) trade accounts and accrued expenses payable in the ordinary course of business, (ii) any earn-out obligation until such obligation becomes a liability on the balance sheet of such Person in accordance with GAAP and if not paid after becoming due and payable and (iii) accruals for payroll and other liabilities accrued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(e) indebtedness (excluding prepaid interest thereon) secured by a Lien on property owned or being purchased by such Person (including indebtedness arising under conditional sales or other title retention agreements and mortgage, industrial revenue bond, industrial development bond and similar financings), whether or not such indebtedness shall have been assumed by such Person or is limited in recourse; </w:t>
      </w:r>
    </w:p>
    <w:p>
      <w:pPr>
        <w:pStyle w:val="TextBody"/>
        <w:bidi w:val="0"/>
        <w:spacing w:before="120" w:after="0"/>
        <w:jc w:val="left"/>
        <w:rPr>
          <w:rFonts w:ascii="Times New Roman" w:hAnsi="Times New Roman"/>
          <w:sz w:val="20"/>
        </w:rPr>
      </w:pPr>
      <w:r>
        <w:rPr>
          <w:rFonts w:ascii="Times New Roman" w:hAnsi="Times New Roman"/>
          <w:sz w:val="20"/>
        </w:rPr>
        <w:t xml:space="preserve">(f) all Attributable Indebtedness; </w:t>
      </w:r>
    </w:p>
    <w:p>
      <w:pPr>
        <w:pStyle w:val="TextBody"/>
        <w:bidi w:val="0"/>
        <w:spacing w:before="120" w:after="0"/>
        <w:jc w:val="left"/>
        <w:rPr>
          <w:rFonts w:ascii="Times New Roman" w:hAnsi="Times New Roman"/>
          <w:sz w:val="20"/>
        </w:rPr>
      </w:pPr>
      <w:r>
        <w:rPr>
          <w:rFonts w:ascii="Times New Roman" w:hAnsi="Times New Roman"/>
          <w:sz w:val="20"/>
        </w:rPr>
        <w:t xml:space="preserve">(g) all obligations of such Person in respect of Disqualified Equity Interests; and </w:t>
      </w:r>
    </w:p>
    <w:p>
      <w:pPr>
        <w:pStyle w:val="TextBody"/>
        <w:bidi w:val="0"/>
        <w:spacing w:before="120" w:after="0"/>
        <w:jc w:val="left"/>
        <w:rPr>
          <w:rFonts w:ascii="Times New Roman" w:hAnsi="Times New Roman"/>
          <w:sz w:val="20"/>
        </w:rPr>
      </w:pPr>
      <w:r>
        <w:rPr>
          <w:rFonts w:ascii="Times New Roman" w:hAnsi="Times New Roman"/>
          <w:sz w:val="20"/>
        </w:rPr>
        <w:t xml:space="preserve">(h) all Guarantees of such Person in respect of any of the foregoing (other than by endorsement of negotiable instruments for collection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if and to the extent that any of the foregoing Indebtedness (other than letters of credit and obligations under Swap Contracts) would appear as a liability upon a balance sheet (excluding the footnotes thereto) of such Person prepared in accordance with GAAP; </w:t>
      </w:r>
      <w:r>
        <w:rPr>
          <w:rFonts w:ascii="Times New Roman" w:hAnsi="Times New Roman"/>
          <w:i/>
          <w:sz w:val="20"/>
        </w:rPr>
        <w:t xml:space="preserve">provided </w:t>
      </w:r>
      <w:r>
        <w:rPr>
          <w:rFonts w:ascii="Times New Roman" w:hAnsi="Times New Roman"/>
          <w:sz w:val="20"/>
        </w:rPr>
        <w:t xml:space="preserve">that Indebtedness of any parent of the Parent appearing upon the balance sheet of the Parent solely by reason of push-down accounting under GAAP shall be excluded. For all purposes hereof, the Indebtedness of any Person shall (A) include the Indebtedness of any partnership or joint venture (other than a joint venture that is itself a corporation or limited liability company) in which such Person is a general partner or a joint venturer, except to the extent such Person’s liability for such Indebtedness is otherwise limited and only to the extent such Indebtedness would be included in the calculation of Consolidated Total Indebtedness and (B) in the case of the Parent and its Subsidiaries, exclude (x) all intercompany Indebtedness having a term not exceeding 364 days (inclusive of any roll-over or extensions of terms) and made in the ordinary of business and (y) purchase price holdbacks in respect of a portion of the purchase price of an asset to satisfy warranty or other unperformed obligations of the seller. The amount of any net obligation under any Swap Contract on any date shall be deemed to be the Swap Termination Value thereof as of such date. The amount of Indebtedness of any Person for purposes of clause (e) shall be deemed to be equal to the lesser of (i) the aggregate unpaid amount of such Indebtedness and (ii) the fair market value of the property encumbered thereby as determined by such Person in good faith. </w:t>
      </w:r>
    </w:p>
    <w:p>
      <w:pPr>
        <w:pStyle w:val="TextBody"/>
        <w:bidi w:val="0"/>
        <w:spacing w:before="240" w:after="0"/>
        <w:jc w:val="left"/>
        <w:rPr/>
      </w:pPr>
      <w:r>
        <w:rPr/>
        <w:t>“</w:t>
      </w:r>
      <w:r>
        <w:rPr>
          <w:rFonts w:ascii="Times New Roman" w:hAnsi="Times New Roman"/>
          <w:sz w:val="20"/>
          <w:u w:val="single"/>
        </w:rPr>
        <w:t>Indemnified Taxes</w:t>
      </w:r>
      <w:r>
        <w:rPr>
          <w:rFonts w:ascii="Times New Roman" w:hAnsi="Times New Roman"/>
          <w:sz w:val="20"/>
        </w:rPr>
        <w:t xml:space="preserve">” means (i) Taxes, other than Excluded Taxes, imposed on or with respect to any payment made by or on account of any obligation of Borrower-Related Party under any Transaction Document and (ii) to the extent not otherwise described in the preceding </w:t>
      </w:r>
      <w:r>
        <w:rPr>
          <w:rFonts w:ascii="Times New Roman" w:hAnsi="Times New Roman"/>
          <w:sz w:val="20"/>
          <w:u w:val="single"/>
        </w:rPr>
        <w:t>clause (i)</w:t>
      </w:r>
      <w:r>
        <w:rPr>
          <w:rFonts w:ascii="Times New Roman" w:hAnsi="Times New Roman"/>
          <w:sz w:val="20"/>
        </w:rPr>
        <w:t xml:space="preserve">, Other Taxes. </w:t>
      </w:r>
    </w:p>
    <w:p>
      <w:pPr>
        <w:pStyle w:val="TextBody"/>
        <w:bidi w:val="0"/>
        <w:spacing w:before="240" w:after="0"/>
        <w:jc w:val="left"/>
        <w:rPr/>
      </w:pPr>
      <w:r>
        <w:rPr/>
        <w:t>“</w:t>
      </w:r>
      <w:r>
        <w:rPr>
          <w:rFonts w:ascii="Times New Roman" w:hAnsi="Times New Roman"/>
          <w:sz w:val="20"/>
          <w:u w:val="single"/>
        </w:rPr>
        <w:t>Independent Director</w:t>
      </w:r>
      <w:r>
        <w:rPr>
          <w:rFonts w:ascii="Times New Roman" w:hAnsi="Times New Roman"/>
          <w:sz w:val="20"/>
        </w:rPr>
        <w:t xml:space="preserve">” has the meaning set forth in </w:t>
      </w:r>
      <w:r>
        <w:rPr>
          <w:rFonts w:ascii="Times New Roman" w:hAnsi="Times New Roman"/>
          <w:sz w:val="20"/>
          <w:u w:val="single"/>
        </w:rPr>
        <w:t>Section 7.03(c)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Information</w:t>
      </w:r>
      <w:r>
        <w:rPr>
          <w:rFonts w:ascii="Times New Roman" w:hAnsi="Times New Roman"/>
          <w:sz w:val="20"/>
        </w:rPr>
        <w:t xml:space="preserve">” has the meaning set forth in </w:t>
      </w:r>
      <w:r>
        <w:rPr>
          <w:rFonts w:ascii="Times New Roman" w:hAnsi="Times New Roman"/>
          <w:sz w:val="20"/>
          <w:u w:val="single"/>
        </w:rPr>
        <w:t>Section 12.08</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Initial Class A Lender</w:t>
      </w:r>
      <w:r>
        <w:rPr>
          <w:rFonts w:ascii="Times New Roman" w:hAnsi="Times New Roman"/>
          <w:sz w:val="20"/>
        </w:rPr>
        <w:t xml:space="preserve">” means a Class A Lender that as a party to this Agreement in the capacity of a Class A Lender as of the First Amendment Date. </w:t>
      </w:r>
    </w:p>
    <w:p>
      <w:pPr>
        <w:pStyle w:val="TextBody"/>
        <w:bidi w:val="0"/>
        <w:spacing w:before="240" w:after="0"/>
        <w:jc w:val="left"/>
        <w:rPr/>
      </w:pPr>
      <w:r>
        <w:rPr/>
        <w:t>“</w:t>
      </w:r>
      <w:r>
        <w:rPr>
          <w:rFonts w:ascii="Times New Roman" w:hAnsi="Times New Roman"/>
          <w:sz w:val="20"/>
          <w:u w:val="single"/>
        </w:rPr>
        <w:t>Initial Class B Lender</w:t>
      </w:r>
      <w:r>
        <w:rPr>
          <w:rFonts w:ascii="Times New Roman" w:hAnsi="Times New Roman"/>
          <w:sz w:val="20"/>
        </w:rPr>
        <w:t xml:space="preserve">” means a Class B Lender that as a party to this Agreement in the capacity of a Class B Lender as of the First Amendment Date. </w:t>
      </w:r>
    </w:p>
    <w:p>
      <w:pPr>
        <w:pStyle w:val="TextBody"/>
        <w:bidi w:val="0"/>
        <w:spacing w:before="240" w:after="0"/>
        <w:jc w:val="left"/>
        <w:rPr/>
      </w:pPr>
      <w:r>
        <w:rPr/>
        <w:t>“</w:t>
      </w:r>
      <w:r>
        <w:rPr>
          <w:rFonts w:ascii="Times New Roman" w:hAnsi="Times New Roman"/>
          <w:sz w:val="20"/>
          <w:u w:val="single"/>
        </w:rPr>
        <w:t>Initial Funding Date</w:t>
      </w:r>
      <w:r>
        <w:rPr>
          <w:rFonts w:ascii="Times New Roman" w:hAnsi="Times New Roman"/>
          <w:sz w:val="20"/>
        </w:rPr>
        <w:t xml:space="preserve">” has the meaning set forth in </w:t>
      </w:r>
      <w:r>
        <w:rPr>
          <w:rFonts w:ascii="Times New Roman" w:hAnsi="Times New Roman"/>
          <w:sz w:val="20"/>
          <w:u w:val="single"/>
        </w:rPr>
        <w:t>Section 5.01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Insured Amount</w:t>
      </w:r>
      <w:r>
        <w:rPr>
          <w:rFonts w:ascii="Times New Roman" w:hAnsi="Times New Roman"/>
          <w:sz w:val="20"/>
        </w:rPr>
        <w:t xml:space="preserve">” means, with respect to any Insured Receivable, the excess, if any, of (a) the Outstanding Balance of such Receivable, over (b) the total amount of deductibles and coinsurance with respect to a claim in an amount equal to the Outstanding Balance of such Insured Receivable and such other amounts as determined by the Administrative Agent (in its reasonable discretion) likely to diminish any recovery from the Eligible Credit Insurance Provider for a related claim under the related Eligible Credit Insurance (including, without limitation, fees associated with claims, any discount to present value based on the expected timing of such recovery and other “haircut” amounts based on the likelihood of recovery under the related Eligible Credit Insurance). </w:t>
      </w:r>
    </w:p>
    <w:p>
      <w:pPr>
        <w:pStyle w:val="TextBody"/>
        <w:bidi w:val="0"/>
        <w:spacing w:before="240" w:after="0"/>
        <w:jc w:val="left"/>
        <w:rPr/>
      </w:pPr>
      <w:r>
        <w:rPr/>
        <w:t>“</w:t>
      </w:r>
      <w:r>
        <w:rPr>
          <w:rFonts w:ascii="Times New Roman" w:hAnsi="Times New Roman"/>
          <w:sz w:val="20"/>
          <w:u w:val="single"/>
        </w:rPr>
        <w:t>Insured Receivable</w:t>
      </w:r>
      <w:r>
        <w:rPr>
          <w:rFonts w:ascii="Times New Roman" w:hAnsi="Times New Roman"/>
          <w:sz w:val="20"/>
        </w:rPr>
        <w:t xml:space="preserve">” means each Receivable of an Obligor for which the Outstanding Balance (when aggregated with each other Receivable owing by such Obligor that was originated prior to such Receivable) is equal to or less than the then-effective maximum amount available for payments established for such Obligor for all claims relating to such Obligor during the related policy period under and pursuant to Eligible Credit Insurance; </w:t>
      </w:r>
      <w:r>
        <w:rPr>
          <w:rFonts w:ascii="Times New Roman" w:hAnsi="Times New Roman"/>
          <w:sz w:val="20"/>
          <w:u w:val="single"/>
        </w:rPr>
        <w:t>provided</w:t>
      </w:r>
      <w:r>
        <w:rPr>
          <w:rFonts w:ascii="Times New Roman" w:hAnsi="Times New Roman"/>
          <w:sz w:val="20"/>
        </w:rPr>
        <w:t xml:space="preserve">, that no Receivable shall constitute an Insured Receivable at any time the Credit Insurance Policy relating thereto shall cease to constitute Eligible Credit Insurance. </w:t>
      </w:r>
    </w:p>
    <w:p>
      <w:pPr>
        <w:pStyle w:val="TextBody"/>
        <w:bidi w:val="0"/>
        <w:spacing w:before="240" w:after="0"/>
        <w:jc w:val="left"/>
        <w:rPr/>
      </w:pPr>
      <w:r>
        <w:rPr/>
        <w:t>“</w:t>
      </w:r>
      <w:r>
        <w:rPr>
          <w:rFonts w:ascii="Times New Roman" w:hAnsi="Times New Roman"/>
          <w:sz w:val="20"/>
          <w:u w:val="single"/>
        </w:rPr>
        <w:t>Intended Tax Treatment</w:t>
      </w:r>
      <w:r>
        <w:rPr>
          <w:rFonts w:ascii="Times New Roman" w:hAnsi="Times New Roman"/>
          <w:sz w:val="20"/>
        </w:rPr>
        <w:t xml:space="preserve">” has the meaning set forth in </w:t>
      </w:r>
      <w:r>
        <w:rPr>
          <w:rFonts w:ascii="Times New Roman" w:hAnsi="Times New Roman"/>
          <w:sz w:val="20"/>
          <w:u w:val="single"/>
        </w:rPr>
        <w:t>Section 12.11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Interest</w:t>
      </w:r>
      <w:r>
        <w:rPr>
          <w:rFonts w:ascii="Times New Roman" w:hAnsi="Times New Roman"/>
          <w:sz w:val="20"/>
        </w:rPr>
        <w:t xml:space="preserve">” means, for each Loan and any Interest Period (or portion thereof), the amount of interest accrued on the Principal of such Loan during such Interest Period (or portion thereof) in accordance with this Agreement. </w:t>
      </w:r>
    </w:p>
    <w:p>
      <w:pPr>
        <w:pStyle w:val="TextBody"/>
        <w:bidi w:val="0"/>
        <w:spacing w:before="240" w:after="0"/>
        <w:jc w:val="left"/>
        <w:rPr/>
      </w:pPr>
      <w:r>
        <w:rPr/>
        <w:t>“</w:t>
      </w:r>
      <w:r>
        <w:rPr>
          <w:rFonts w:ascii="Times New Roman" w:hAnsi="Times New Roman"/>
          <w:sz w:val="20"/>
          <w:u w:val="single"/>
        </w:rPr>
        <w:t>Interest Period</w:t>
      </w:r>
      <w:r>
        <w:rPr>
          <w:rFonts w:ascii="Times New Roman" w:hAnsi="Times New Roman"/>
          <w:sz w:val="20"/>
        </w:rPr>
        <w:t>” means, with respect to any Loan</w:t>
      </w:r>
      <w:r>
        <w:rPr>
          <w:rFonts w:ascii="Times New Roman" w:hAnsi="Times New Roman"/>
          <w:color w:val="0000FF"/>
          <w:sz w:val="20"/>
          <w:u w:val="single"/>
          <w:bdr w:val="double" w:sz="2" w:space="1" w:color="000000"/>
        </w:rPr>
        <w:t xml:space="preserve"> or fees payable hereunder</w:t>
      </w:r>
      <w:r>
        <w:rPr>
          <w:rFonts w:ascii="Times New Roman" w:hAnsi="Times New Roman"/>
          <w:sz w:val="20"/>
        </w:rPr>
        <w:t xml:space="preserve">, (a) before the Termination Date: (i) initially, the period commencing on the date such Loan is funded hereunder (or in the case of </w:t>
      </w:r>
      <w:r>
        <w:rPr>
          <w:rFonts w:ascii="Times New Roman" w:hAnsi="Times New Roman"/>
          <w:strike/>
          <w:color w:val="FF0000"/>
          <w:sz w:val="20"/>
        </w:rPr>
        <w:t>any</w:t>
      </w:r>
      <w:r>
        <w:rPr>
          <w:rFonts w:ascii="Times New Roman" w:hAnsi="Times New Roman"/>
          <w:color w:val="0000FF"/>
          <w:sz w:val="20"/>
          <w:u w:val="single"/>
          <w:bdr w:val="double" w:sz="2" w:space="1" w:color="000000"/>
        </w:rPr>
        <w:t>such</w:t>
      </w:r>
      <w:r>
        <w:rPr>
          <w:rFonts w:ascii="Times New Roman" w:hAnsi="Times New Roman"/>
          <w:sz w:val="20"/>
        </w:rPr>
        <w:t xml:space="preserve"> fees</w:t>
      </w:r>
      <w:r>
        <w:rPr>
          <w:rFonts w:ascii="Times New Roman" w:hAnsi="Times New Roman"/>
          <w:strike/>
          <w:color w:val="FF0000"/>
          <w:sz w:val="20"/>
        </w:rPr>
        <w:t xml:space="preserve"> payable hereunder</w:t>
      </w:r>
      <w:r>
        <w:rPr>
          <w:rFonts w:ascii="Times New Roman" w:hAnsi="Times New Roman"/>
          <w:sz w:val="20"/>
        </w:rPr>
        <w:t xml:space="preserve">, commencing on the Closing Date) and ending on (and including) the last day of such calendar month and (ii) thereafter, each period commencing on the first day of each calendar month and ending on (and including) the last day of such calendar month and (b) on and after the Termination Date, such period (including a period of one day) as shall be selected from time to time by the Administrative Agent or, in the absence of any such selection, each period determined pursuant to </w:t>
      </w:r>
      <w:r>
        <w:rPr>
          <w:rFonts w:ascii="Times New Roman" w:hAnsi="Times New Roman"/>
          <w:sz w:val="20"/>
          <w:u w:val="single"/>
        </w:rPr>
        <w:t>clause (a)</w:t>
      </w:r>
      <w:r>
        <w:rPr>
          <w:rFonts w:ascii="Times New Roman" w:hAnsi="Times New Roman"/>
          <w:sz w:val="20"/>
        </w:rPr>
        <w:t xml:space="preserve"> above. </w:t>
      </w:r>
    </w:p>
    <w:p>
      <w:pPr>
        <w:pStyle w:val="TextBody"/>
        <w:bidi w:val="0"/>
        <w:spacing w:before="240" w:after="0"/>
        <w:jc w:val="left"/>
        <w:rPr/>
      </w:pPr>
      <w:r>
        <w:rPr/>
        <w:t>“</w:t>
      </w:r>
      <w:r>
        <w:rPr>
          <w:rFonts w:ascii="Times New Roman" w:hAnsi="Times New Roman"/>
          <w:sz w:val="20"/>
          <w:u w:val="single"/>
        </w:rPr>
        <w:t>Interest Rate</w:t>
      </w:r>
      <w:r>
        <w:rPr>
          <w:rFonts w:ascii="Times New Roman" w:hAnsi="Times New Roman"/>
          <w:sz w:val="20"/>
        </w:rPr>
        <w:t xml:space="preserve">” means, subject to </w:t>
      </w:r>
      <w:r>
        <w:rPr>
          <w:rFonts w:ascii="Times New Roman" w:hAnsi="Times New Roman"/>
          <w:sz w:val="20"/>
          <w:u w:val="single"/>
        </w:rPr>
        <w:t>Sections 2.03</w:t>
      </w:r>
      <w:r>
        <w:rPr>
          <w:rFonts w:ascii="Times New Roman" w:hAnsi="Times New Roman"/>
          <w:sz w:val="20"/>
        </w:rPr>
        <w:t xml:space="preserve"> and </w:t>
      </w:r>
      <w:r>
        <w:rPr>
          <w:rFonts w:ascii="Times New Roman" w:hAnsi="Times New Roman"/>
          <w:sz w:val="20"/>
          <w:u w:val="single"/>
        </w:rPr>
        <w:t>2.04</w:t>
      </w:r>
      <w:r>
        <w:rPr>
          <w:rFonts w:ascii="Times New Roman" w:hAnsi="Times New Roman"/>
          <w:sz w:val="20"/>
        </w:rPr>
        <w:t xml:space="preserve">, for any day in any Interest Period for any Loan (or any portion of Principal thereof): </w:t>
      </w:r>
    </w:p>
    <w:p>
      <w:pPr>
        <w:pStyle w:val="TextBody"/>
        <w:bidi w:val="0"/>
        <w:spacing w:before="120" w:after="0"/>
        <w:jc w:val="left"/>
        <w:rPr>
          <w:rFonts w:ascii="Times New Roman" w:hAnsi="Times New Roman"/>
          <w:sz w:val="20"/>
        </w:rPr>
      </w:pPr>
      <w:r>
        <w:rPr>
          <w:rFonts w:ascii="Times New Roman" w:hAnsi="Times New Roman"/>
          <w:sz w:val="20"/>
        </w:rPr>
        <w:t>(a)</w:t>
      </w:r>
      <w:r>
        <w:rPr>
          <w:rFonts w:ascii="Times New Roman" w:hAnsi="Times New Roman"/>
          <w:strike/>
          <w:color w:val="FF0000"/>
          <w:sz w:val="20"/>
        </w:rPr>
        <w:t xml:space="preserve"> if no</w:t>
      </w:r>
      <w:r>
        <w:rPr>
          <w:rFonts w:ascii="Times New Roman" w:hAnsi="Times New Roman"/>
          <w:color w:val="0000FF"/>
          <w:sz w:val="20"/>
          <w:u w:val="single"/>
          <w:bdr w:val="double" w:sz="2" w:space="1" w:color="000000"/>
        </w:rPr>
        <w:t>unless an</w:t>
      </w:r>
      <w:r>
        <w:rPr>
          <w:rFonts w:ascii="Times New Roman" w:hAnsi="Times New Roman"/>
          <w:sz w:val="20"/>
        </w:rPr>
        <w:t xml:space="preserve"> Event of Default or Financial Covenant Event is then continuing, the sum of (i) either (x) if the Borrower has elected for such Loan (or </w:t>
      </w:r>
      <w:r>
        <w:rPr>
          <w:rFonts w:ascii="Times New Roman" w:hAnsi="Times New Roman"/>
          <w:strike/>
          <w:color w:val="FF0000"/>
          <w:sz w:val="20"/>
        </w:rPr>
        <w:t>any</w:t>
      </w:r>
      <w:r>
        <w:rPr>
          <w:rFonts w:ascii="Times New Roman" w:hAnsi="Times New Roman"/>
          <w:color w:val="0000FF"/>
          <w:sz w:val="20"/>
          <w:u w:val="single"/>
          <w:bdr w:val="double" w:sz="2" w:space="1" w:color="000000"/>
        </w:rPr>
        <w:t>such</w:t>
      </w:r>
      <w:r>
        <w:rPr>
          <w:rFonts w:ascii="Times New Roman" w:hAnsi="Times New Roman"/>
          <w:sz w:val="20"/>
        </w:rPr>
        <w:t xml:space="preserve"> portion of Principal</w:t>
      </w:r>
      <w:r>
        <w:rPr>
          <w:rFonts w:ascii="Times New Roman" w:hAnsi="Times New Roman"/>
          <w:strike/>
          <w:color w:val="FF0000"/>
          <w:sz w:val="20"/>
        </w:rPr>
        <w:t xml:space="preserve"> thereof</w:t>
      </w:r>
      <w:r>
        <w:rPr>
          <w:rFonts w:ascii="Times New Roman" w:hAnsi="Times New Roman"/>
          <w:sz w:val="20"/>
        </w:rPr>
        <w:t xml:space="preserve">) to accrue interest by reference to the Term SOFR Rate during such Interest Period in accordance with </w:t>
      </w:r>
      <w:r>
        <w:rPr>
          <w:rFonts w:ascii="Times New Roman" w:hAnsi="Times New Roman"/>
          <w:sz w:val="20"/>
          <w:u w:val="single"/>
        </w:rPr>
        <w:t>Section 2.03(d)(i)</w:t>
      </w:r>
      <w:r>
        <w:rPr>
          <w:rFonts w:ascii="Times New Roman" w:hAnsi="Times New Roman"/>
          <w:sz w:val="20"/>
        </w:rPr>
        <w:t>, the Term SOFR Rate for such day, or (y) </w:t>
      </w:r>
      <w:r>
        <w:rPr>
          <w:rFonts w:ascii="Times New Roman" w:hAnsi="Times New Roman"/>
          <w:strike/>
          <w:color w:val="FF0000"/>
          <w:sz w:val="20"/>
        </w:rPr>
        <w:t>in any other case (including if no such election has been made)</w:t>
      </w:r>
      <w:r>
        <w:rPr>
          <w:rFonts w:ascii="Times New Roman" w:hAnsi="Times New Roman"/>
          <w:color w:val="0000FF"/>
          <w:sz w:val="20"/>
          <w:u w:val="single"/>
          <w:bdr w:val="double" w:sz="2" w:space="1" w:color="000000"/>
        </w:rPr>
        <w:t>otherwise</w:t>
      </w:r>
      <w:r>
        <w:rPr>
          <w:rFonts w:ascii="Times New Roman" w:hAnsi="Times New Roman"/>
          <w:sz w:val="20"/>
        </w:rPr>
        <w:t xml:space="preserve">, Daily 1M SOFR </w:t>
      </w:r>
      <w:r>
        <w:rPr>
          <w:rFonts w:ascii="Times New Roman" w:hAnsi="Times New Roman"/>
          <w:strike/>
          <w:color w:val="FF0000"/>
          <w:sz w:val="20"/>
          <w:u w:val="single"/>
        </w:rPr>
        <w:t>plus</w:t>
      </w:r>
      <w:r>
        <w:rPr>
          <w:rFonts w:ascii="Times New Roman" w:hAnsi="Times New Roman"/>
          <w:color w:val="0000FF"/>
          <w:sz w:val="20"/>
          <w:u w:val="single"/>
          <w:bdr w:val="double" w:sz="2" w:space="1" w:color="000000"/>
        </w:rPr>
        <w:t>and</w:t>
      </w:r>
      <w:r>
        <w:rPr>
          <w:rFonts w:ascii="Times New Roman" w:hAnsi="Times New Roman"/>
          <w:sz w:val="20"/>
        </w:rPr>
        <w:t xml:space="preserve"> (ii) the SOFR Adjustment;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an Event of Default or Financial Covenant Event is then continuing, the greater of (x) the sum of the Daily 1M SOFR for such day </w:t>
      </w:r>
      <w:r>
        <w:rPr>
          <w:rFonts w:ascii="Times New Roman" w:hAnsi="Times New Roman"/>
          <w:strike/>
          <w:color w:val="FF0000"/>
          <w:sz w:val="20"/>
          <w:u w:val="single"/>
        </w:rPr>
        <w:t>plus</w:t>
      </w:r>
      <w:r>
        <w:rPr>
          <w:rFonts w:ascii="Times New Roman" w:hAnsi="Times New Roman"/>
          <w:color w:val="0000FF"/>
          <w:sz w:val="20"/>
          <w:u w:val="single"/>
          <w:bdr w:val="double" w:sz="2" w:space="1" w:color="000000"/>
        </w:rPr>
        <w:t>and</w:t>
      </w:r>
      <w:r>
        <w:rPr>
          <w:rFonts w:ascii="Times New Roman" w:hAnsi="Times New Roman"/>
          <w:sz w:val="20"/>
        </w:rPr>
        <w:t xml:space="preserve"> the SOFR Adjustment, and (y) the Base Rate for such day (in either case, plus any additional margin or spread imposed pursuant to </w:t>
      </w:r>
      <w:r>
        <w:rPr>
          <w:rFonts w:ascii="Times New Roman" w:hAnsi="Times New Roman"/>
          <w:sz w:val="20"/>
          <w:u w:val="single"/>
        </w:rPr>
        <w:t>Section 2.03(f)</w:t>
      </w:r>
      <w:r>
        <w:rPr>
          <w:rFonts w:ascii="Times New Roman" w:hAnsi="Times New Roman"/>
          <w:sz w:val="20"/>
        </w:rPr>
        <w:t>)</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if any Loan is converted to, or deemed to be, a Base Rate Loan pursuant to the terms hereof, the Interest Rate for such Loan shall be the Base Rate as in effect from time to time (plus any additional margin or spread imposed pursuant to </w:t>
      </w:r>
      <w:r>
        <w:rPr>
          <w:rFonts w:ascii="Times New Roman" w:hAnsi="Times New Roman"/>
          <w:sz w:val="20"/>
          <w:u w:val="single"/>
        </w:rPr>
        <w:t>Section 2.03(f)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International Trade Laws</w:t>
      </w:r>
      <w:r>
        <w:rPr>
          <w:rFonts w:ascii="Times New Roman" w:hAnsi="Times New Roman"/>
          <w:sz w:val="20"/>
        </w:rPr>
        <w:t xml:space="preserve">” means all Laws relating to economic and financial sanctions, trade embargoes, export controls, customs and anti-boycott measures. </w:t>
      </w:r>
    </w:p>
    <w:p>
      <w:pPr>
        <w:pStyle w:val="TextBody"/>
        <w:bidi w:val="0"/>
        <w:spacing w:before="240" w:after="0"/>
        <w:jc w:val="left"/>
        <w:rPr/>
      </w:pPr>
      <w:r>
        <w:rPr/>
        <w:t>“</w:t>
      </w:r>
      <w:r>
        <w:rPr>
          <w:rFonts w:ascii="Times New Roman" w:hAnsi="Times New Roman"/>
          <w:sz w:val="20"/>
          <w:u w:val="single"/>
        </w:rPr>
        <w:t>Investment Company Act</w:t>
      </w:r>
      <w:r>
        <w:rPr>
          <w:rFonts w:ascii="Times New Roman" w:hAnsi="Times New Roman"/>
          <w:sz w:val="20"/>
        </w:rPr>
        <w:t xml:space="preserve">” means the Investment Company Act of 1940. </w:t>
      </w:r>
    </w:p>
    <w:p>
      <w:pPr>
        <w:pStyle w:val="TextBody"/>
        <w:bidi w:val="0"/>
        <w:spacing w:before="240" w:after="0"/>
        <w:jc w:val="left"/>
        <w:rPr/>
      </w:pPr>
      <w:r>
        <w:rPr/>
        <w:t>“</w:t>
      </w:r>
      <w:r>
        <w:rPr>
          <w:rFonts w:ascii="Times New Roman" w:hAnsi="Times New Roman"/>
          <w:sz w:val="20"/>
          <w:u w:val="single"/>
        </w:rPr>
        <w:t>IRS</w:t>
      </w:r>
      <w:r>
        <w:rPr>
          <w:rFonts w:ascii="Times New Roman" w:hAnsi="Times New Roman"/>
          <w:sz w:val="20"/>
        </w:rPr>
        <w:t xml:space="preserve">” means the United States Internal Revenue Service. </w:t>
      </w:r>
    </w:p>
    <w:p>
      <w:pPr>
        <w:pStyle w:val="TextBody"/>
        <w:bidi w:val="0"/>
        <w:spacing w:before="240" w:after="0"/>
        <w:jc w:val="left"/>
        <w:rPr/>
      </w:pPr>
      <w:r>
        <w:rPr/>
        <w:t>“</w:t>
      </w:r>
      <w:r>
        <w:rPr>
          <w:rFonts w:ascii="Times New Roman" w:hAnsi="Times New Roman"/>
          <w:sz w:val="20"/>
          <w:u w:val="single"/>
        </w:rPr>
        <w:t>Law</w:t>
      </w:r>
      <w:r>
        <w:rPr>
          <w:rFonts w:ascii="Times New Roman" w:hAnsi="Times New Roman"/>
          <w:sz w:val="20"/>
        </w:rPr>
        <w:t xml:space="preserve">” means any law(s) (including common law), constitution, statute, treaty, regulation, rule, ordinance, opinion, issued guidance, release, ruling, order, executive order, injunction, writ, decree, bond, judgment, authorization or approval, lien or award of or any settlement arrangement, by agreement, consent or otherwise, with any Official Body, foreign or domestic. </w:t>
      </w:r>
    </w:p>
    <w:p>
      <w:pPr>
        <w:pStyle w:val="TextBody"/>
        <w:bidi w:val="0"/>
        <w:spacing w:before="240" w:after="0"/>
        <w:jc w:val="left"/>
        <w:rPr/>
      </w:pPr>
      <w:r>
        <w:rPr/>
        <w:t>“</w:t>
      </w:r>
      <w:r>
        <w:rPr>
          <w:rFonts w:ascii="Times New Roman" w:hAnsi="Times New Roman"/>
          <w:sz w:val="20"/>
          <w:u w:val="single"/>
        </w:rPr>
        <w:t>LCR Security</w:t>
      </w:r>
      <w:r>
        <w:rPr>
          <w:rFonts w:ascii="Times New Roman" w:hAnsi="Times New Roman"/>
          <w:sz w:val="20"/>
        </w:rPr>
        <w:t xml:space="preserve">” means any commercial paper or security (other than equity securities issued to any Person that is a consolidated subsidiary of Parent under GAAP) within the meaning of Paragraph __.32(e)(viii) of the final rules titled Liquidity Coverage Ratio: Liquidity Risk Measurement Standards, 79 Fed. Reg. 197, 61440 et seq. (October 10, 2014). </w:t>
      </w:r>
    </w:p>
    <w:p>
      <w:pPr>
        <w:pStyle w:val="TextBody"/>
        <w:bidi w:val="0"/>
        <w:spacing w:before="240" w:after="0"/>
        <w:jc w:val="left"/>
        <w:rPr/>
      </w:pPr>
      <w:r>
        <w:rPr/>
        <w:t>“</w:t>
      </w:r>
      <w:r>
        <w:rPr>
          <w:rFonts w:ascii="Times New Roman" w:hAnsi="Times New Roman"/>
          <w:sz w:val="20"/>
          <w:u w:val="single"/>
        </w:rPr>
        <w:t>Lender</w:t>
      </w:r>
      <w:r>
        <w:rPr>
          <w:rFonts w:ascii="Times New Roman" w:hAnsi="Times New Roman"/>
          <w:sz w:val="20"/>
        </w:rPr>
        <w:t xml:space="preserve">” means each Person that is or becomes a party to this Agreement in the capacity of a Class A Lender or a Class B Lender. </w:t>
      </w:r>
    </w:p>
    <w:p>
      <w:pPr>
        <w:pStyle w:val="TextBody"/>
        <w:bidi w:val="0"/>
        <w:spacing w:before="240" w:after="0"/>
        <w:jc w:val="left"/>
        <w:rPr/>
      </w:pPr>
      <w:r>
        <w:rPr/>
        <w:t>“</w:t>
      </w:r>
      <w:r>
        <w:rPr>
          <w:rFonts w:ascii="Times New Roman" w:hAnsi="Times New Roman"/>
          <w:sz w:val="20"/>
          <w:u w:val="single"/>
        </w:rPr>
        <w:t>Lender Representative</w:t>
      </w:r>
      <w:r>
        <w:rPr>
          <w:rFonts w:ascii="Times New Roman" w:hAnsi="Times New Roman"/>
          <w:sz w:val="20"/>
        </w:rPr>
        <w:t xml:space="preserve">” means the Class A Lender Representative and the Class B Lender Representative, as applicable. </w:t>
      </w:r>
    </w:p>
    <w:p>
      <w:pPr>
        <w:pStyle w:val="TextBody"/>
        <w:bidi w:val="0"/>
        <w:spacing w:before="240" w:after="0"/>
        <w:jc w:val="left"/>
        <w:rPr/>
      </w:pPr>
      <w:r>
        <w:rPr/>
        <w:t>“</w:t>
      </w:r>
      <w:r>
        <w:rPr>
          <w:rFonts w:ascii="Times New Roman" w:hAnsi="Times New Roman"/>
          <w:sz w:val="20"/>
          <w:u w:val="single"/>
        </w:rPr>
        <w:t>Lending Office</w:t>
      </w:r>
      <w:r>
        <w:rPr>
          <w:rFonts w:ascii="Times New Roman" w:hAnsi="Times New Roman"/>
          <w:sz w:val="20"/>
        </w:rPr>
        <w:t xml:space="preserve">” means, as to the Administrative Agent or any Lender, the office or offices of such Person described as such in such Lender’s Administrative Questionnaire, or such other office or offices as such Person may from time to time notify the Borrower and the Administrative Agent. </w:t>
      </w:r>
    </w:p>
    <w:p>
      <w:pPr>
        <w:pStyle w:val="TextBody"/>
        <w:bidi w:val="0"/>
        <w:spacing w:before="240" w:after="0"/>
        <w:jc w:val="left"/>
        <w:rPr/>
      </w:pPr>
      <w:r>
        <w:rPr/>
        <w:t>“</w:t>
      </w:r>
      <w:r>
        <w:rPr>
          <w:rFonts w:ascii="Times New Roman" w:hAnsi="Times New Roman"/>
          <w:sz w:val="20"/>
          <w:u w:val="single"/>
        </w:rPr>
        <w:t>Level I Leverage Period</w:t>
      </w:r>
      <w:r>
        <w:rPr>
          <w:rFonts w:ascii="Times New Roman" w:hAnsi="Times New Roman"/>
          <w:sz w:val="20"/>
        </w:rPr>
        <w:t xml:space="preserve">” means any period (i) beginning on the date on which financial statements were delivered (or required to be delivered) for the Parent (or any of its Subsidiaries) and the Total Net Leverage Ratio for the most recently completed Test Period exceeded 3.50:100 and (ii) ending on the date on which financial statements were delivered (or required to be delivered) for the Parent (or any of its Subsidiaries) and the Total Net Leverage Ratio for the most recently completed Test Period did not exceed 3.50:100. A Level I Leverage Period will continue concurrently with a Level II Leverage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Level II Leverage Period</w:t>
      </w:r>
      <w:r>
        <w:rPr>
          <w:rFonts w:ascii="Times New Roman" w:hAnsi="Times New Roman"/>
          <w:sz w:val="20"/>
        </w:rPr>
        <w:t xml:space="preserve">” means any period (i) beginning on the date on which financial statements were delivered (or required to be delivered) for the Parent (or any of its Subsidiaries) and the Total Net Leverage Ratio for the most recently completed Test Period exceeded 4.00:100 and (ii) ending on the date on which financial statements were delivered (or required to be delivered) for the Parent (or any of its Subsidiaries) and the Total Net Leverage Ratio for the most recently completed Test Period did not exceed 4.00:100.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any mortgage, deed of trust, pledge, lien, security interest, charge or other encumbrance or security arrangement of any nature whatsoever, whether voluntarily or involuntarily given, including any conditional sale or title retention arrangement, and any assignment, deposit arrangement or lease intended as, or having the effect of, security and any filed financing statement or other notice of any of the foregoing (whether or not a lien or other encumbrance is created or exists at the time of the filing). </w:t>
      </w:r>
    </w:p>
    <w:p>
      <w:pPr>
        <w:pStyle w:val="TextBody"/>
        <w:bidi w:val="0"/>
        <w:spacing w:before="240" w:after="0"/>
        <w:jc w:val="left"/>
        <w:rPr/>
      </w:pPr>
      <w:r>
        <w:rPr/>
        <w:t>“</w:t>
      </w:r>
      <w:r>
        <w:rPr>
          <w:rFonts w:ascii="Times New Roman" w:hAnsi="Times New Roman"/>
          <w:sz w:val="20"/>
          <w:u w:val="single"/>
        </w:rPr>
        <w:t>Linked Account</w:t>
      </w:r>
      <w:r>
        <w:rPr>
          <w:rFonts w:ascii="Times New Roman" w:hAnsi="Times New Roman"/>
          <w:sz w:val="20"/>
        </w:rPr>
        <w:t xml:space="preserve">” means any controlled disbursement account, controlled balance account or other deposit account maintained by a Collection Account Bank for any Borrower-Related Party or any Affiliate thereof and linked to any Collection Account by a zero balance account connection or other automated funding mechanism or controlled balance arrangement. </w:t>
      </w:r>
    </w:p>
    <w:p>
      <w:pPr>
        <w:pStyle w:val="TextBody"/>
        <w:bidi w:val="0"/>
        <w:spacing w:before="240" w:after="0"/>
        <w:jc w:val="left"/>
        <w:rPr/>
      </w:pPr>
      <w:r>
        <w:rPr/>
        <w:t>“</w:t>
      </w:r>
      <w:r>
        <w:rPr>
          <w:rFonts w:ascii="Times New Roman" w:hAnsi="Times New Roman"/>
          <w:sz w:val="20"/>
          <w:u w:val="single"/>
        </w:rPr>
        <w:t>Liquidity</w:t>
      </w:r>
      <w:r>
        <w:rPr>
          <w:rFonts w:ascii="Times New Roman" w:hAnsi="Times New Roman"/>
          <w:sz w:val="20"/>
        </w:rPr>
        <w:t xml:space="preserve">” means, at any time, the sum of (a) aggregate amount of cash and Cash Equivalents of Parent and its Subsidiaries, excluding cash and Cash Equivalents which are listed as “restricted” on the consolidated balance sheet of Parent and its Subsidiaries as of such date (including, for the avoidance of doubt, any amounts then on deposit in the Collection Accounts, none of which shall be considered “restricted” for such purpose), </w:t>
      </w:r>
      <w:r>
        <w:rPr>
          <w:rFonts w:ascii="Times New Roman" w:hAnsi="Times New Roman"/>
          <w:sz w:val="20"/>
          <w:u w:val="single"/>
        </w:rPr>
        <w:t>plus</w:t>
      </w:r>
      <w:r>
        <w:rPr>
          <w:rFonts w:ascii="Times New Roman" w:hAnsi="Times New Roman"/>
          <w:sz w:val="20"/>
        </w:rPr>
        <w:t xml:space="preserve"> (b) any remaining aggregate amount committed and available to be drawn (taking into account any conditions precedent to any drawing and/or applicable restrictions) by Parent and its Subsidiaries in respect of the Credit Agreement or other Material Indebtedness, </w:t>
      </w:r>
      <w:r>
        <w:rPr>
          <w:rFonts w:ascii="Times New Roman" w:hAnsi="Times New Roman"/>
          <w:sz w:val="20"/>
          <w:u w:val="single"/>
        </w:rPr>
        <w:t>plus</w:t>
      </w:r>
      <w:r>
        <w:rPr>
          <w:rFonts w:ascii="Times New Roman" w:hAnsi="Times New Roman"/>
          <w:sz w:val="20"/>
        </w:rPr>
        <w:t xml:space="preserve"> (c) the excess (if any) of (i) the lesser of the Facility Limit and the Borrowing Base at such time, </w:t>
      </w:r>
      <w:r>
        <w:rPr>
          <w:rFonts w:ascii="Times New Roman" w:hAnsi="Times New Roman"/>
          <w:sz w:val="20"/>
          <w:u w:val="single"/>
        </w:rPr>
        <w:t>over</w:t>
      </w:r>
      <w:r>
        <w:rPr>
          <w:rFonts w:ascii="Times New Roman" w:hAnsi="Times New Roman"/>
          <w:sz w:val="20"/>
        </w:rPr>
        <w:t xml:space="preserve"> (ii) the Aggregate Principal at such time; </w:t>
      </w:r>
      <w:r>
        <w:rPr>
          <w:rFonts w:ascii="Times New Roman" w:hAnsi="Times New Roman"/>
          <w:sz w:val="20"/>
          <w:u w:val="single"/>
        </w:rPr>
        <w:t>provided</w:t>
      </w:r>
      <w:r>
        <w:rPr>
          <w:rFonts w:ascii="Times New Roman" w:hAnsi="Times New Roman"/>
          <w:sz w:val="20"/>
        </w:rPr>
        <w:t xml:space="preserve">, that at any time on or after the Termination Date, the amount determined pursuant this </w:t>
      </w:r>
      <w:r>
        <w:rPr>
          <w:rFonts w:ascii="Times New Roman" w:hAnsi="Times New Roman"/>
          <w:sz w:val="20"/>
          <w:u w:val="single"/>
        </w:rPr>
        <w:t>clause (c)</w:t>
      </w:r>
      <w:r>
        <w:rPr>
          <w:rFonts w:ascii="Times New Roman" w:hAnsi="Times New Roman"/>
          <w:sz w:val="20"/>
        </w:rPr>
        <w:t xml:space="preserve"> shall be zero ($0). </w:t>
      </w:r>
    </w:p>
    <w:p>
      <w:pPr>
        <w:pStyle w:val="TextBody"/>
        <w:bidi w:val="0"/>
        <w:spacing w:before="240" w:after="0"/>
        <w:jc w:val="left"/>
        <w:rPr/>
      </w:pPr>
      <w:r>
        <w:rPr/>
        <w:t>“</w:t>
      </w:r>
      <w:r>
        <w:rPr>
          <w:rFonts w:ascii="Times New Roman" w:hAnsi="Times New Roman"/>
          <w:sz w:val="20"/>
          <w:u w:val="single"/>
        </w:rPr>
        <w:t>LLC Division</w:t>
      </w:r>
      <w:r>
        <w:rPr>
          <w:rFonts w:ascii="Times New Roman" w:hAnsi="Times New Roman"/>
          <w:sz w:val="20"/>
        </w:rPr>
        <w:t xml:space="preserve">” means, in the event a Person is a limited liability company, (a) the division of such Person into two or more newly formed limited liability companies (whether or not such Person is a surviving entity following any such division) pursuant to Section 18-217 of the Delaware Limited Liability Company Act or any similar provision under any similar act governing limited liability companies organized under the Laws of any other State or Commonwealth or of the District of Columbia, or (b) the adoption of a plan contemplating, or the filing of any certificate with any applicable Official Body that results or may result in, any such division. </w:t>
      </w:r>
    </w:p>
    <w:p>
      <w:pPr>
        <w:pStyle w:val="TextBody"/>
        <w:bidi w:val="0"/>
        <w:spacing w:before="240" w:after="0"/>
        <w:jc w:val="left"/>
        <w:rPr/>
      </w:pPr>
      <w:r>
        <w:rPr/>
        <w:t>“</w:t>
      </w:r>
      <w:r>
        <w:rPr>
          <w:rFonts w:ascii="Times New Roman" w:hAnsi="Times New Roman"/>
          <w:sz w:val="20"/>
          <w:u w:val="single"/>
        </w:rPr>
        <w:t>Loan</w:t>
      </w:r>
      <w:r>
        <w:rPr>
          <w:rFonts w:ascii="Times New Roman" w:hAnsi="Times New Roman"/>
          <w:sz w:val="20"/>
        </w:rPr>
        <w:t xml:space="preserve">” means a Class A Loan and a Class B Term Loan. </w:t>
      </w:r>
    </w:p>
    <w:p>
      <w:pPr>
        <w:pStyle w:val="TextBody"/>
        <w:bidi w:val="0"/>
        <w:spacing w:before="240" w:after="0"/>
        <w:jc w:val="left"/>
        <w:rPr/>
      </w:pPr>
      <w:r>
        <w:rPr/>
        <w:t>“</w:t>
      </w:r>
      <w:r>
        <w:rPr>
          <w:rFonts w:ascii="Times New Roman" w:hAnsi="Times New Roman"/>
          <w:sz w:val="20"/>
          <w:u w:val="single"/>
        </w:rPr>
        <w:t>Loan Request</w:t>
      </w:r>
      <w:r>
        <w:rPr>
          <w:rFonts w:ascii="Times New Roman" w:hAnsi="Times New Roman"/>
          <w:sz w:val="20"/>
        </w:rPr>
        <w:t xml:space="preserve">” means a letter in substantially the form of </w:t>
      </w:r>
      <w:r>
        <w:rPr>
          <w:rFonts w:ascii="Times New Roman" w:hAnsi="Times New Roman"/>
          <w:sz w:val="20"/>
          <w:u w:val="single"/>
        </w:rPr>
        <w:t>Exhibit A</w:t>
      </w:r>
      <w:r>
        <w:rPr>
          <w:rFonts w:ascii="Times New Roman" w:hAnsi="Times New Roman"/>
          <w:sz w:val="20"/>
        </w:rPr>
        <w:t xml:space="preserve"> hereto delivered by the Borrower to the Administrative Agent </w:t>
      </w:r>
      <w:r>
        <w:rPr>
          <w:rFonts w:ascii="Times New Roman" w:hAnsi="Times New Roman"/>
          <w:strike/>
          <w:color w:val="FF0000"/>
          <w:sz w:val="20"/>
        </w:rPr>
        <w:t xml:space="preserve">and the Lenders </w:t>
      </w:r>
      <w:r>
        <w:rPr>
          <w:rFonts w:ascii="Times New Roman" w:hAnsi="Times New Roman"/>
          <w:sz w:val="20"/>
        </w:rPr>
        <w:t xml:space="preserve">pursuant to </w:t>
      </w:r>
      <w:r>
        <w:rPr>
          <w:rFonts w:ascii="Times New Roman" w:hAnsi="Times New Roman"/>
          <w:sz w:val="20"/>
          <w:u w:val="single"/>
        </w:rPr>
        <w:t>Section 2.02(a)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Lock-Box</w:t>
      </w:r>
      <w:r>
        <w:rPr>
          <w:rFonts w:ascii="Times New Roman" w:hAnsi="Times New Roman"/>
          <w:sz w:val="20"/>
        </w:rPr>
        <w:t xml:space="preserve">” means each locked postal box with respect to any Collection Account for the purpose of retrieving and processing payments made on the Receivables and which is listed on </w:t>
      </w:r>
      <w:r>
        <w:rPr>
          <w:rFonts w:ascii="Times New Roman" w:hAnsi="Times New Roman"/>
          <w:sz w:val="20"/>
          <w:u w:val="single"/>
        </w:rPr>
        <w:t>Schedule II</w:t>
      </w:r>
      <w:r>
        <w:rPr>
          <w:rFonts w:ascii="Times New Roman" w:hAnsi="Times New Roman"/>
          <w:sz w:val="20"/>
        </w:rPr>
        <w:t xml:space="preserve"> (as such schedule may be modified from time to time in connection with the addition or removal of any Lock-Box in accordance with the terms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Loss Horizon Ratio</w:t>
      </w:r>
      <w:r>
        <w:rPr>
          <w:rFonts w:ascii="Times New Roman" w:hAnsi="Times New Roman"/>
          <w:sz w:val="20"/>
        </w:rPr>
        <w:t xml:space="preserve">” means, at any time, the ratio (expressed as a percentage and rounded to the nearest 1/100th of 1%, with 5/1000th of 1% rounded upward) computed by </w:t>
      </w:r>
      <w:r>
        <w:rPr>
          <w:rFonts w:ascii="Times New Roman" w:hAnsi="Times New Roman"/>
          <w:sz w:val="20"/>
          <w:u w:val="single"/>
        </w:rPr>
        <w:t>dividing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the sum of (i) the aggregate initial Outstanding Balance of all Pool Receivables (other than Unbilled Receivables) generated by the Originators during the number of most recently ended Fiscal Months equal to the Loss Horizon Terms Base Component; </w:t>
      </w:r>
      <w:r>
        <w:rPr>
          <w:rFonts w:ascii="Times New Roman" w:hAnsi="Times New Roman"/>
          <w:sz w:val="20"/>
          <w:u w:val="single"/>
        </w:rPr>
        <w:t>plus</w:t>
      </w:r>
      <w:r>
        <w:rPr>
          <w:rFonts w:ascii="Times New Roman" w:hAnsi="Times New Roman"/>
          <w:sz w:val="20"/>
        </w:rPr>
        <w:t xml:space="preserve"> (ii) the product of (x) the aggregate initial Outstanding Balance of all Pool Receivables generated by the Originators during the most recently ended Fiscal Month not included in the calculation set forth in </w:t>
      </w:r>
      <w:r>
        <w:rPr>
          <w:rFonts w:ascii="Times New Roman" w:hAnsi="Times New Roman"/>
          <w:sz w:val="20"/>
          <w:u w:val="single"/>
        </w:rPr>
        <w:t>clause (i)</w:t>
      </w:r>
      <w:r>
        <w:rPr>
          <w:rFonts w:ascii="Times New Roman" w:hAnsi="Times New Roman"/>
          <w:sz w:val="20"/>
        </w:rPr>
        <w:t xml:space="preserve"> above, </w:t>
      </w:r>
      <w:r>
        <w:rPr>
          <w:rFonts w:ascii="Times New Roman" w:hAnsi="Times New Roman"/>
          <w:sz w:val="20"/>
          <w:u w:val="single"/>
        </w:rPr>
        <w:t>times</w:t>
      </w:r>
      <w:r>
        <w:rPr>
          <w:rFonts w:ascii="Times New Roman" w:hAnsi="Times New Roman"/>
          <w:sz w:val="20"/>
        </w:rPr>
        <w:t xml:space="preserve"> the Loss Horizon Terms Fractional Component; </w:t>
      </w:r>
      <w:r>
        <w:rPr>
          <w:rFonts w:ascii="Times New Roman" w:hAnsi="Times New Roman"/>
          <w:sz w:val="20"/>
          <w:u w:val="single"/>
        </w:rPr>
        <w:t>by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the Outstanding Balance of all Pool Receivables as of such date. </w:t>
      </w:r>
    </w:p>
    <w:p>
      <w:pPr>
        <w:pStyle w:val="TextBody"/>
        <w:bidi w:val="0"/>
        <w:spacing w:before="240" w:after="0"/>
        <w:jc w:val="left"/>
        <w:rPr/>
      </w:pPr>
      <w:r>
        <w:rPr/>
        <w:t>“</w:t>
      </w:r>
      <w:r>
        <w:rPr>
          <w:rFonts w:ascii="Times New Roman" w:hAnsi="Times New Roman"/>
          <w:sz w:val="20"/>
          <w:u w:val="single"/>
        </w:rPr>
        <w:t>Loss Horizon Terms Base Component</w:t>
      </w:r>
      <w:r>
        <w:rPr>
          <w:rFonts w:ascii="Times New Roman" w:hAnsi="Times New Roman"/>
          <w:sz w:val="20"/>
        </w:rPr>
        <w:t xml:space="preserve">” means the sum (rounded down to the nearest whole number) of (i) 4.25 and (ii) the ratio computed by </w:t>
      </w:r>
      <w:r>
        <w:rPr>
          <w:rFonts w:ascii="Times New Roman" w:hAnsi="Times New Roman"/>
          <w:sz w:val="20"/>
          <w:u w:val="single"/>
        </w:rPr>
        <w:t>dividing</w:t>
      </w:r>
      <w:r>
        <w:rPr>
          <w:rFonts w:ascii="Times New Roman" w:hAnsi="Times New Roman"/>
          <w:sz w:val="20"/>
        </w:rPr>
        <w:t xml:space="preserve"> (x) WACT </w:t>
      </w:r>
      <w:r>
        <w:rPr>
          <w:rFonts w:ascii="Times New Roman" w:hAnsi="Times New Roman"/>
          <w:sz w:val="20"/>
          <w:u w:val="single"/>
        </w:rPr>
        <w:t>minus</w:t>
      </w:r>
      <w:r>
        <w:rPr>
          <w:rFonts w:ascii="Times New Roman" w:hAnsi="Times New Roman"/>
          <w:sz w:val="20"/>
        </w:rPr>
        <w:t xml:space="preserve"> 30, </w:t>
      </w:r>
      <w:r>
        <w:rPr>
          <w:rFonts w:ascii="Times New Roman" w:hAnsi="Times New Roman"/>
          <w:sz w:val="20"/>
          <w:u w:val="single"/>
        </w:rPr>
        <w:t>by</w:t>
      </w:r>
      <w:r>
        <w:rPr>
          <w:rFonts w:ascii="Times New Roman" w:hAnsi="Times New Roman"/>
          <w:sz w:val="20"/>
        </w:rPr>
        <w:t xml:space="preserve"> (x) 30. </w:t>
      </w:r>
    </w:p>
    <w:p>
      <w:pPr>
        <w:pStyle w:val="TextBody"/>
        <w:bidi w:val="0"/>
        <w:spacing w:before="240" w:after="0"/>
        <w:jc w:val="left"/>
        <w:rPr/>
      </w:pPr>
      <w:r>
        <w:rPr/>
        <w:t>“</w:t>
      </w:r>
      <w:r>
        <w:rPr>
          <w:rFonts w:ascii="Times New Roman" w:hAnsi="Times New Roman"/>
          <w:sz w:val="20"/>
          <w:u w:val="single"/>
        </w:rPr>
        <w:t>Loss Horizon Terms Fractional Component</w:t>
      </w:r>
      <w:r>
        <w:rPr>
          <w:rFonts w:ascii="Times New Roman" w:hAnsi="Times New Roman"/>
          <w:sz w:val="20"/>
        </w:rPr>
        <w:t xml:space="preserve">” means the excess, if any, of (a) the sum of (i) 4.25 and (ii) the ratio (expressed as a percentage and rounded to the nearest 1/100th of 1%, with 5/1000th of 1% rounded upward) computed by </w:t>
      </w:r>
      <w:r>
        <w:rPr>
          <w:rFonts w:ascii="Times New Roman" w:hAnsi="Times New Roman"/>
          <w:sz w:val="20"/>
          <w:u w:val="single"/>
        </w:rPr>
        <w:t>dividing</w:t>
      </w:r>
      <w:r>
        <w:rPr>
          <w:rFonts w:ascii="Times New Roman" w:hAnsi="Times New Roman"/>
          <w:sz w:val="20"/>
        </w:rPr>
        <w:t xml:space="preserve"> (x) WACT </w:t>
      </w:r>
      <w:r>
        <w:rPr>
          <w:rFonts w:ascii="Times New Roman" w:hAnsi="Times New Roman"/>
          <w:sz w:val="20"/>
          <w:u w:val="single"/>
        </w:rPr>
        <w:t>minus</w:t>
      </w:r>
      <w:r>
        <w:rPr>
          <w:rFonts w:ascii="Times New Roman" w:hAnsi="Times New Roman"/>
          <w:sz w:val="20"/>
        </w:rPr>
        <w:t xml:space="preserve"> 30, </w:t>
      </w:r>
      <w:r>
        <w:rPr>
          <w:rFonts w:ascii="Times New Roman" w:hAnsi="Times New Roman"/>
          <w:sz w:val="20"/>
          <w:u w:val="single"/>
        </w:rPr>
        <w:t>by</w:t>
      </w:r>
      <w:r>
        <w:rPr>
          <w:rFonts w:ascii="Times New Roman" w:hAnsi="Times New Roman"/>
          <w:sz w:val="20"/>
        </w:rPr>
        <w:t xml:space="preserve"> (y) 30; over (b) the Loss Horizon Terms Base Component. </w:t>
      </w:r>
    </w:p>
    <w:p>
      <w:pPr>
        <w:pStyle w:val="TextBody"/>
        <w:bidi w:val="0"/>
        <w:spacing w:before="240" w:after="0"/>
        <w:jc w:val="left"/>
        <w:rPr/>
      </w:pPr>
      <w:r>
        <w:rPr/>
        <w:t>“</w:t>
      </w:r>
      <w:r>
        <w:rPr>
          <w:rFonts w:ascii="Times New Roman" w:hAnsi="Times New Roman"/>
          <w:sz w:val="20"/>
          <w:u w:val="single"/>
        </w:rPr>
        <w:t>Loss Reserve Percentage</w:t>
      </w:r>
      <w:r>
        <w:rPr>
          <w:rFonts w:ascii="Times New Roman" w:hAnsi="Times New Roman"/>
          <w:sz w:val="20"/>
        </w:rPr>
        <w:t xml:space="preserve">” means, at any time, the product (expressed as a percentage and rounded to the nearest 1/100th of 1%, with 5/1000th of 1% rounded upward) of (a) 2.25, </w:t>
      </w:r>
      <w:r>
        <w:rPr>
          <w:rFonts w:ascii="Times New Roman" w:hAnsi="Times New Roman"/>
          <w:sz w:val="20"/>
          <w:u w:val="single"/>
        </w:rPr>
        <w:t>multiplied</w:t>
      </w:r>
      <w:r>
        <w:rPr>
          <w:rFonts w:ascii="Times New Roman" w:hAnsi="Times New Roman"/>
          <w:sz w:val="20"/>
        </w:rPr>
        <w:t xml:space="preserve"> </w:t>
      </w:r>
      <w:r>
        <w:rPr>
          <w:rFonts w:ascii="Times New Roman" w:hAnsi="Times New Roman"/>
          <w:sz w:val="20"/>
          <w:u w:val="single"/>
        </w:rPr>
        <w:t>by</w:t>
      </w:r>
      <w:r>
        <w:rPr>
          <w:rFonts w:ascii="Times New Roman" w:hAnsi="Times New Roman"/>
          <w:sz w:val="20"/>
        </w:rPr>
        <w:t xml:space="preserve"> (b) the highest average of the Default Ratios for any three (3) consecutive Fiscal Months during the twelve (12) most recent Fiscal Months, </w:t>
      </w:r>
      <w:r>
        <w:rPr>
          <w:rFonts w:ascii="Times New Roman" w:hAnsi="Times New Roman"/>
          <w:sz w:val="20"/>
          <w:u w:val="single"/>
        </w:rPr>
        <w:t>multiplied</w:t>
      </w:r>
      <w:r>
        <w:rPr>
          <w:rFonts w:ascii="Times New Roman" w:hAnsi="Times New Roman"/>
          <w:sz w:val="20"/>
        </w:rPr>
        <w:t xml:space="preserve"> </w:t>
      </w:r>
      <w:r>
        <w:rPr>
          <w:rFonts w:ascii="Times New Roman" w:hAnsi="Times New Roman"/>
          <w:sz w:val="20"/>
          <w:u w:val="single"/>
        </w:rPr>
        <w:t>by</w:t>
      </w:r>
      <w:r>
        <w:rPr>
          <w:rFonts w:ascii="Times New Roman" w:hAnsi="Times New Roman"/>
          <w:sz w:val="20"/>
        </w:rPr>
        <w:t xml:space="preserve"> (c) the Loss Horizon Ratio. </w:t>
      </w:r>
    </w:p>
    <w:p>
      <w:pPr>
        <w:pStyle w:val="TextBody"/>
        <w:bidi w:val="0"/>
        <w:spacing w:before="240" w:after="0"/>
        <w:jc w:val="left"/>
        <w:rPr/>
      </w:pPr>
      <w:r>
        <w:rPr/>
        <w:t>“</w:t>
      </w:r>
      <w:r>
        <w:rPr>
          <w:rFonts w:ascii="Times New Roman" w:hAnsi="Times New Roman"/>
          <w:sz w:val="20"/>
          <w:u w:val="single"/>
        </w:rPr>
        <w:t>Material Adverse Effect</w:t>
      </w:r>
      <w:r>
        <w:rPr>
          <w:rFonts w:ascii="Times New Roman" w:hAnsi="Times New Roman"/>
          <w:sz w:val="20"/>
        </w:rPr>
        <w:t>” means relative to any Person (</w:t>
      </w:r>
      <w:r>
        <w:rPr>
          <w:rFonts w:ascii="Times New Roman" w:hAnsi="Times New Roman"/>
          <w:i/>
          <w:sz w:val="20"/>
        </w:rPr>
        <w:t>provided</w:t>
      </w:r>
      <w:r>
        <w:rPr>
          <w:rFonts w:ascii="Times New Roman" w:hAnsi="Times New Roman"/>
          <w:sz w:val="20"/>
        </w:rPr>
        <w:t xml:space="preserve"> that if no particular Person is specified, “Material Adverse Effect” shall be deemed to be relative to all Borrower-Related Parties, individually and in the aggregate) with respect to any event or circumstance, a material adverse effect on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the assets, operations, business or financial condition of such Person; </w:t>
      </w:r>
    </w:p>
    <w:p>
      <w:pPr>
        <w:pStyle w:val="TextBody"/>
        <w:bidi w:val="0"/>
        <w:spacing w:before="120" w:after="0"/>
        <w:jc w:val="left"/>
        <w:rPr>
          <w:rFonts w:ascii="Times New Roman" w:hAnsi="Times New Roman"/>
          <w:sz w:val="20"/>
        </w:rPr>
      </w:pPr>
      <w:r>
        <w:rPr>
          <w:rFonts w:ascii="Times New Roman" w:hAnsi="Times New Roman"/>
          <w:sz w:val="20"/>
        </w:rPr>
        <w:t xml:space="preserve">(b) the ability of such Person to perform its material obligations under this Agreement or any other Transaction Document to which it is a party; </w:t>
      </w:r>
    </w:p>
    <w:p>
      <w:pPr>
        <w:pStyle w:val="TextBody"/>
        <w:bidi w:val="0"/>
        <w:spacing w:before="120" w:after="0"/>
        <w:jc w:val="left"/>
        <w:rPr>
          <w:rFonts w:ascii="Times New Roman" w:hAnsi="Times New Roman"/>
          <w:sz w:val="20"/>
        </w:rPr>
      </w:pPr>
      <w:r>
        <w:rPr>
          <w:rFonts w:ascii="Times New Roman" w:hAnsi="Times New Roman"/>
          <w:sz w:val="20"/>
        </w:rPr>
        <w:t xml:space="preserve">(c) the validity or enforceability of this Agreement or any other Transaction Document; </w:t>
      </w:r>
    </w:p>
    <w:p>
      <w:pPr>
        <w:pStyle w:val="TextBody"/>
        <w:bidi w:val="0"/>
        <w:spacing w:before="120" w:after="0"/>
        <w:jc w:val="left"/>
        <w:rPr>
          <w:rFonts w:ascii="Times New Roman" w:hAnsi="Times New Roman"/>
          <w:sz w:val="20"/>
        </w:rPr>
      </w:pPr>
      <w:r>
        <w:rPr>
          <w:rFonts w:ascii="Times New Roman" w:hAnsi="Times New Roman"/>
          <w:sz w:val="20"/>
        </w:rPr>
        <w:t xml:space="preserve">(d) the validity, enforceability, value or collectibility of any material portion of the Collateral; </w:t>
      </w:r>
    </w:p>
    <w:p>
      <w:pPr>
        <w:pStyle w:val="TextBody"/>
        <w:bidi w:val="0"/>
        <w:spacing w:before="120" w:after="0"/>
        <w:jc w:val="left"/>
        <w:rPr>
          <w:rFonts w:ascii="Times New Roman" w:hAnsi="Times New Roman"/>
          <w:sz w:val="20"/>
        </w:rPr>
      </w:pPr>
      <w:r>
        <w:rPr>
          <w:rFonts w:ascii="Times New Roman" w:hAnsi="Times New Roman"/>
          <w:sz w:val="20"/>
        </w:rPr>
        <w:t xml:space="preserve">(e) the status, perfection, enforceability or priority of the Administrative Agent’s security interest in any material portion of the Collateral;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rights and remedies of any Credit Party under the Transaction Documents or associated with its interests in the Collateral. </w:t>
      </w:r>
    </w:p>
    <w:p>
      <w:pPr>
        <w:pStyle w:val="TextBody"/>
        <w:bidi w:val="0"/>
        <w:spacing w:before="240" w:after="0"/>
        <w:jc w:val="left"/>
        <w:rPr/>
      </w:pPr>
      <w:r>
        <w:rPr/>
        <w:t>“</w:t>
      </w:r>
      <w:r>
        <w:rPr>
          <w:rFonts w:ascii="Times New Roman" w:hAnsi="Times New Roman"/>
          <w:sz w:val="20"/>
          <w:u w:val="single"/>
        </w:rPr>
        <w:t>Material Indebtedness</w:t>
      </w:r>
      <w:r>
        <w:rPr>
          <w:rFonts w:ascii="Times New Roman" w:hAnsi="Times New Roman"/>
          <w:sz w:val="20"/>
        </w:rPr>
        <w:t xml:space="preserve">” means any Indebtedness having an outstanding aggregate principal amount of not less than the Threshold Amount. </w:t>
      </w:r>
    </w:p>
    <w:p>
      <w:pPr>
        <w:pStyle w:val="TextBody"/>
        <w:bidi w:val="0"/>
        <w:spacing w:before="240" w:after="0"/>
        <w:jc w:val="left"/>
        <w:rPr/>
      </w:pPr>
      <w:r>
        <w:rPr/>
        <w:t>“</w:t>
      </w:r>
      <w:r>
        <w:rPr>
          <w:rFonts w:ascii="Times New Roman" w:hAnsi="Times New Roman"/>
          <w:sz w:val="20"/>
          <w:u w:val="single"/>
        </w:rPr>
        <w:t>Material Travel Event Disruption</w:t>
      </w:r>
      <w:r>
        <w:rPr>
          <w:rFonts w:ascii="Times New Roman" w:hAnsi="Times New Roman"/>
          <w:sz w:val="20"/>
        </w:rPr>
        <w:t xml:space="preserve">” means, in any given calendar month, a decrease of 10% or more in the number of “domestic revenue passenger enplanements” (determined by reference to the monthly “Air Traffic Statistics” published by the Bureau of Transportation Statistics) occurs as a result of or in connection with a Travel Event as compared to the number of “domestic revenue passenger enplanements” (determined by reference to the monthly “Air Traffic Statistics” published by the Bureau of Transportation Statistics) occurring in the corresponding month during the prior year or, if a Material Travel Event Disruption existed during such month, the most recent corresponding month in which no Material Travel Event Disruption occurred/existed. </w:t>
      </w:r>
    </w:p>
    <w:p>
      <w:pPr>
        <w:pStyle w:val="TextBody"/>
        <w:bidi w:val="0"/>
        <w:spacing w:before="240" w:after="0"/>
        <w:jc w:val="left"/>
        <w:rPr/>
      </w:pPr>
      <w:r>
        <w:rPr/>
        <w:t>“</w:t>
      </w:r>
      <w:r>
        <w:rPr>
          <w:rFonts w:ascii="Times New Roman" w:hAnsi="Times New Roman"/>
          <w:sz w:val="20"/>
          <w:u w:val="single"/>
        </w:rPr>
        <w:t>Material Travel Event Disruption Period</w:t>
      </w:r>
      <w:r>
        <w:rPr>
          <w:rFonts w:ascii="Times New Roman" w:hAnsi="Times New Roman"/>
          <w:sz w:val="20"/>
        </w:rPr>
        <w:t xml:space="preserve">” means the period from and after the last date of the quarter in which a Material Travel Event Disruption occurs until the last date of the second succeeding quarter (unless during such Material Travel Event Disruption Period a separate and distinct Material Travel Event Disruption occurs, in which case a new Material Travel Event Disruption Period shall run from and after the last date of the quarter in which such subsequent Material Travel Event Disruption occurred until the last date of the second succeeding quarter). </w:t>
      </w:r>
    </w:p>
    <w:p>
      <w:pPr>
        <w:pStyle w:val="TextBody"/>
        <w:bidi w:val="0"/>
        <w:spacing w:before="240" w:after="0"/>
        <w:jc w:val="left"/>
        <w:rPr/>
      </w:pPr>
      <w:r>
        <w:rPr/>
        <w:t>“</w:t>
      </w:r>
      <w:r>
        <w:rPr>
          <w:rFonts w:ascii="Times New Roman" w:hAnsi="Times New Roman"/>
          <w:sz w:val="20"/>
          <w:u w:val="single"/>
        </w:rPr>
        <w:t>Minimum Dilution Reserve Percentage</w:t>
      </w:r>
      <w:r>
        <w:rPr>
          <w:rFonts w:ascii="Times New Roman" w:hAnsi="Times New Roman"/>
          <w:sz w:val="20"/>
        </w:rPr>
        <w:t xml:space="preserve">” means, at any time, the product (expressed as a percentage and rounded to the nearest 1/100th of 1%, with 5/1000th of 1% rounded upward) of (a) the average of the Dilution Ratios for the twelve (12) most recent Fiscal Months, </w:t>
      </w:r>
      <w:r>
        <w:rPr>
          <w:rFonts w:ascii="Times New Roman" w:hAnsi="Times New Roman"/>
          <w:sz w:val="20"/>
          <w:u w:val="single"/>
        </w:rPr>
        <w:t>multiplied by</w:t>
      </w:r>
      <w:r>
        <w:rPr>
          <w:rFonts w:ascii="Times New Roman" w:hAnsi="Times New Roman"/>
          <w:sz w:val="20"/>
        </w:rPr>
        <w:t xml:space="preserve"> (b) the Dilution Horizon Ratio. </w:t>
      </w:r>
    </w:p>
    <w:p>
      <w:pPr>
        <w:pStyle w:val="TextBody"/>
        <w:bidi w:val="0"/>
        <w:spacing w:before="240" w:after="0"/>
        <w:jc w:val="left"/>
        <w:rPr/>
      </w:pPr>
      <w:r>
        <w:rPr/>
        <w:t>“</w:t>
      </w:r>
      <w:r>
        <w:rPr>
          <w:rFonts w:ascii="Times New Roman" w:hAnsi="Times New Roman"/>
          <w:sz w:val="20"/>
          <w:u w:val="single"/>
        </w:rPr>
        <w:t>Monthly Report</w:t>
      </w:r>
      <w:r>
        <w:rPr>
          <w:rFonts w:ascii="Times New Roman" w:hAnsi="Times New Roman"/>
          <w:sz w:val="20"/>
        </w:rPr>
        <w:t xml:space="preserve">” means a report regarding the Pool Receivables and the transactions contemplated hereby, substantially in the form of </w:t>
      </w:r>
      <w:r>
        <w:rPr>
          <w:rFonts w:ascii="Times New Roman" w:hAnsi="Times New Roman"/>
          <w:sz w:val="20"/>
          <w:u w:val="single"/>
        </w:rPr>
        <w:t>Exhibit E-1</w:t>
      </w:r>
      <w:r>
        <w:rPr>
          <w:rFonts w:ascii="Times New Roman" w:hAnsi="Times New Roman"/>
          <w:strike/>
          <w:color w:val="FF0000"/>
          <w:sz w:val="20"/>
        </w:rPr>
        <w:t xml:space="preserve">; </w:t>
      </w:r>
      <w:r>
        <w:rPr>
          <w:rFonts w:ascii="Times New Roman" w:hAnsi="Times New Roman"/>
          <w:strike/>
          <w:color w:val="FF0000"/>
          <w:sz w:val="20"/>
          <w:u w:val="single"/>
        </w:rPr>
        <w:t>provided</w:t>
      </w:r>
      <w:r>
        <w:rPr>
          <w:rFonts w:ascii="Times New Roman" w:hAnsi="Times New Roman"/>
          <w:strike/>
          <w:color w:val="FF0000"/>
          <w:sz w:val="20"/>
        </w:rPr>
        <w:t xml:space="preserve"> that after the First Amendment Closing Date, such form shall be revised in form and substance satisfactory</w:t>
      </w:r>
      <w:r>
        <w:rPr>
          <w:rFonts w:ascii="Times New Roman" w:hAnsi="Times New Roman"/>
          <w:color w:val="0000FF"/>
          <w:sz w:val="20"/>
          <w:u w:val="single"/>
          <w:bdr w:val="double" w:sz="2" w:space="1" w:color="000000"/>
        </w:rPr>
        <w:t xml:space="preserve"> (in the form delivered</w:t>
      </w:r>
      <w:r>
        <w:rPr>
          <w:rFonts w:ascii="Times New Roman" w:hAnsi="Times New Roman"/>
          <w:sz w:val="20"/>
        </w:rPr>
        <w:t xml:space="preserve"> to the Administrative Agent </w:t>
      </w:r>
      <w:r>
        <w:rPr>
          <w:rFonts w:ascii="Times New Roman" w:hAnsi="Times New Roman"/>
          <w:strike/>
          <w:color w:val="FF0000"/>
          <w:sz w:val="20"/>
        </w:rPr>
        <w:t>and the Required Class B Lenders to include Unbilled Receivables on or before April 30, 2024</w:t>
      </w:r>
      <w:r>
        <w:rPr>
          <w:rFonts w:ascii="Times New Roman" w:hAnsi="Times New Roman"/>
          <w:color w:val="0000FF"/>
          <w:sz w:val="20"/>
          <w:u w:val="single"/>
          <w:bdr w:val="double" w:sz="2" w:space="1" w:color="000000"/>
        </w:rPr>
        <w:t>on or about September 30, 2026 and as such Exhibit may thereafter be modified from time to time with the consent of the Administrative Agent)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Monthly Settlement Date</w:t>
      </w:r>
      <w:r>
        <w:rPr>
          <w:rFonts w:ascii="Times New Roman" w:hAnsi="Times New Roman"/>
          <w:sz w:val="20"/>
        </w:rPr>
        <w:t xml:space="preserve">” means the 18th day of each calendar month (or if such day is not a Business Day, the next occurring Business Day). </w:t>
      </w:r>
    </w:p>
    <w:p>
      <w:pPr>
        <w:pStyle w:val="TextBody"/>
        <w:bidi w:val="0"/>
        <w:spacing w:before="240" w:after="0"/>
        <w:jc w:val="left"/>
        <w:rPr/>
      </w:pPr>
      <w:r>
        <w:rPr/>
        <w:t>“</w:t>
      </w:r>
      <w:r>
        <w:rPr>
          <w:rFonts w:ascii="Times New Roman" w:hAnsi="Times New Roman"/>
          <w:sz w:val="20"/>
          <w:u w:val="single"/>
        </w:rPr>
        <w:t>Moody’s</w:t>
      </w:r>
      <w:r>
        <w:rPr>
          <w:rFonts w:ascii="Times New Roman" w:hAnsi="Times New Roman"/>
          <w:sz w:val="20"/>
        </w:rPr>
        <w:t xml:space="preserve">” means Moody’s Investors Service, Inc. and any successor thereto that is a nationally recognized statistical rating organization. </w:t>
      </w:r>
    </w:p>
    <w:p>
      <w:pPr>
        <w:pStyle w:val="TextBody"/>
        <w:bidi w:val="0"/>
        <w:spacing w:before="240" w:after="0"/>
        <w:jc w:val="left"/>
        <w:rPr/>
      </w:pPr>
      <w:r>
        <w:rPr/>
        <w:t>“</w:t>
      </w:r>
      <w:r>
        <w:rPr>
          <w:rFonts w:ascii="Times New Roman" w:hAnsi="Times New Roman"/>
          <w:sz w:val="20"/>
          <w:u w:val="single"/>
        </w:rPr>
        <w:t>Multiemployer Plan</w:t>
      </w:r>
      <w:r>
        <w:rPr>
          <w:rFonts w:ascii="Times New Roman" w:hAnsi="Times New Roman"/>
          <w:sz w:val="20"/>
        </w:rPr>
        <w:t xml:space="preserve">” means any employee pension benefit plan which is a “multiemployer plan” within the meaning of Section 4001(a)(3) of ERISA and to which the Borrower or any member of the ERISA Group is then making or accruing an obligation to make contributions or, within the preceding five (5) plan years, has made or had an obligation to make such contributions, or to which the Borrower or any member of the ERISA Group has any liability (contingent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Net Receivables Pool Balance</w:t>
      </w:r>
      <w:r>
        <w:rPr>
          <w:rFonts w:ascii="Times New Roman" w:hAnsi="Times New Roman"/>
          <w:sz w:val="20"/>
        </w:rPr>
        <w:t xml:space="preserve">” means, at any time: (a) the aggregate Outstanding Balance of all Eligible Receivables then in the Receivables Pool, </w:t>
      </w:r>
      <w:r>
        <w:rPr>
          <w:rFonts w:ascii="Times New Roman" w:hAnsi="Times New Roman"/>
          <w:sz w:val="20"/>
          <w:u w:val="single"/>
        </w:rPr>
        <w:t>minus</w:t>
      </w:r>
      <w:r>
        <w:rPr>
          <w:rFonts w:ascii="Times New Roman" w:hAnsi="Times New Roman"/>
          <w:sz w:val="20"/>
        </w:rPr>
        <w:t xml:space="preserve"> (b) the Excess Concentration. </w:t>
      </w:r>
    </w:p>
    <w:p>
      <w:pPr>
        <w:pStyle w:val="TextBody"/>
        <w:bidi w:val="0"/>
        <w:spacing w:before="240" w:after="0"/>
        <w:jc w:val="left"/>
        <w:rPr/>
      </w:pPr>
      <w:r>
        <w:rPr/>
        <w:t>“</w:t>
      </w:r>
      <w:r>
        <w:rPr>
          <w:rFonts w:ascii="Times New Roman" w:hAnsi="Times New Roman"/>
          <w:sz w:val="20"/>
          <w:u w:val="single"/>
        </w:rPr>
        <w:t>Non-Clearing House Eligible Foreign Obligor</w:t>
      </w:r>
      <w:r>
        <w:rPr>
          <w:rFonts w:ascii="Times New Roman" w:hAnsi="Times New Roman"/>
          <w:sz w:val="20"/>
        </w:rPr>
        <w:t xml:space="preserve">” means an Eligible Foreign Obligor that is not a Clearing House Eligible Foreign Obligor. </w:t>
      </w:r>
    </w:p>
    <w:p>
      <w:pPr>
        <w:pStyle w:val="TextBody"/>
        <w:bidi w:val="0"/>
        <w:spacing w:before="240" w:after="0"/>
        <w:jc w:val="left"/>
        <w:rPr/>
      </w:pPr>
      <w:r>
        <w:rPr/>
        <w:t>“</w:t>
      </w:r>
      <w:r>
        <w:rPr>
          <w:rFonts w:ascii="Times New Roman" w:hAnsi="Times New Roman"/>
          <w:sz w:val="20"/>
          <w:u w:val="single"/>
        </w:rPr>
        <w:t>Non-Consenting Lender</w:t>
      </w:r>
      <w:r>
        <w:rPr>
          <w:rFonts w:ascii="Times New Roman" w:hAnsi="Times New Roman"/>
          <w:sz w:val="20"/>
        </w:rPr>
        <w:t xml:space="preserve">” means any Lender that does not approve any consent, waiver or amendment that (a) requires the approval of all or all affected Lenders in accordance with the terms of </w:t>
      </w:r>
      <w:r>
        <w:rPr>
          <w:rFonts w:ascii="Times New Roman" w:hAnsi="Times New Roman"/>
          <w:sz w:val="20"/>
          <w:u w:val="single"/>
        </w:rPr>
        <w:t>Section 12.01</w:t>
      </w:r>
      <w:r>
        <w:rPr>
          <w:rFonts w:ascii="Times New Roman" w:hAnsi="Times New Roman"/>
          <w:sz w:val="20"/>
        </w:rPr>
        <w:t xml:space="preserve"> and (b) has been approved by the Required Lenders. </w:t>
      </w:r>
    </w:p>
    <w:p>
      <w:pPr>
        <w:pStyle w:val="TextBody"/>
        <w:bidi w:val="0"/>
        <w:spacing w:before="240" w:after="0"/>
        <w:jc w:val="left"/>
        <w:rPr/>
      </w:pPr>
      <w:r>
        <w:rPr/>
        <w:t>“</w:t>
      </w:r>
      <w:r>
        <w:rPr>
          <w:rFonts w:ascii="Times New Roman" w:hAnsi="Times New Roman"/>
          <w:sz w:val="20"/>
          <w:u w:val="single"/>
        </w:rPr>
        <w:t>Non-Defaulting Lender</w:t>
      </w:r>
      <w:r>
        <w:rPr>
          <w:rFonts w:ascii="Times New Roman" w:hAnsi="Times New Roman"/>
          <w:sz w:val="20"/>
        </w:rPr>
        <w:t xml:space="preserve">” means, at any time, each Lender that is not a Defaulting Lender at such time. </w:t>
      </w:r>
    </w:p>
    <w:p>
      <w:pPr>
        <w:pStyle w:val="TextBody"/>
        <w:bidi w:val="0"/>
        <w:spacing w:before="240" w:after="0"/>
        <w:jc w:val="left"/>
        <w:rPr/>
      </w:pPr>
      <w:r>
        <w:rPr/>
        <w:t>“</w:t>
      </w:r>
      <w:r>
        <w:rPr>
          <w:rFonts w:ascii="Times New Roman" w:hAnsi="Times New Roman"/>
          <w:sz w:val="20"/>
          <w:u w:val="single"/>
        </w:rPr>
        <w:t>Obligor</w:t>
      </w:r>
      <w:r>
        <w:rPr>
          <w:rFonts w:ascii="Times New Roman" w:hAnsi="Times New Roman"/>
          <w:sz w:val="20"/>
        </w:rPr>
        <w:t xml:space="preserve">” means, with respect to any Receivable, the Person obligated to make payments pursuant to the Contract relating to such Receivable. </w:t>
      </w:r>
    </w:p>
    <w:p>
      <w:pPr>
        <w:pStyle w:val="TextBody"/>
        <w:bidi w:val="0"/>
        <w:spacing w:before="240" w:after="0"/>
        <w:jc w:val="left"/>
        <w:rPr/>
      </w:pPr>
      <w:r>
        <w:rPr/>
        <w:t>“</w:t>
      </w:r>
      <w:r>
        <w:rPr>
          <w:rFonts w:ascii="Times New Roman" w:hAnsi="Times New Roman"/>
          <w:sz w:val="20"/>
          <w:u w:val="single"/>
        </w:rPr>
        <w:t>Obligor Percentage</w:t>
      </w:r>
      <w:r>
        <w:rPr>
          <w:rFonts w:ascii="Times New Roman" w:hAnsi="Times New Roman"/>
          <w:sz w:val="20"/>
        </w:rPr>
        <w:t xml:space="preserve">” means, at any time, for each Obligor, a fraction, expressed as a percentage, (a) the numerator of which is the aggregate Outstanding Balance of the Eligible Receivables of such Obligor and its Affiliates less the amount (if any) then included in the calculation of the Excess Concentration with respect to such Obligor and its Affiliates and (b) the denominator of which is the aggregate Outstanding Balance of all Eligible Receivables at such time. </w:t>
      </w:r>
    </w:p>
    <w:p>
      <w:pPr>
        <w:pStyle w:val="TextBody"/>
        <w:bidi w:val="0"/>
        <w:spacing w:before="240" w:after="0"/>
        <w:jc w:val="left"/>
        <w:rPr/>
      </w:pPr>
      <w:r>
        <w:rPr/>
        <w:t>“</w:t>
      </w:r>
      <w:r>
        <w:rPr>
          <w:rFonts w:ascii="Times New Roman" w:hAnsi="Times New Roman"/>
          <w:sz w:val="20"/>
          <w:u w:val="single"/>
        </w:rPr>
        <w:t>OFAC</w:t>
      </w:r>
      <w:r>
        <w:rPr>
          <w:rFonts w:ascii="Times New Roman" w:hAnsi="Times New Roman"/>
          <w:sz w:val="20"/>
        </w:rPr>
        <w:t xml:space="preserve">” means the Office of Foreign Assets Control of the United States Department of the Treasury. </w:t>
      </w:r>
    </w:p>
    <w:p>
      <w:pPr>
        <w:pStyle w:val="TextBody"/>
        <w:bidi w:val="0"/>
        <w:spacing w:before="240" w:after="0"/>
        <w:jc w:val="left"/>
        <w:rPr/>
      </w:pPr>
      <w:r>
        <w:rPr/>
        <w:t>“</w:t>
      </w:r>
      <w:r>
        <w:rPr>
          <w:rFonts w:ascii="Times New Roman" w:hAnsi="Times New Roman"/>
          <w:sz w:val="20"/>
          <w:u w:val="single"/>
        </w:rPr>
        <w:t>Official Body</w:t>
      </w:r>
      <w:r>
        <w:rPr>
          <w:rFonts w:ascii="Times New Roman" w:hAnsi="Times New Roman"/>
          <w:sz w:val="20"/>
        </w:rPr>
        <w:t xml:space="preserve">” means (i) any Governmental Authority and (ii) any group or body charged with setting financial accounting or regulatory capital rules or standards (including the Financial Accounting Standards Board, the Bank for International Settlements or the Basel Committee on Banking Supervision or any successor or similar authority to any of the foregoing). </w:t>
      </w:r>
    </w:p>
    <w:p>
      <w:pPr>
        <w:pStyle w:val="TextBody"/>
        <w:bidi w:val="0"/>
        <w:spacing w:before="240" w:after="0"/>
        <w:jc w:val="left"/>
        <w:rPr/>
      </w:pPr>
      <w:r>
        <w:rPr/>
        <w:t>“</w:t>
      </w:r>
      <w:r>
        <w:rPr>
          <w:rFonts w:ascii="Times New Roman" w:hAnsi="Times New Roman"/>
          <w:sz w:val="20"/>
          <w:u w:val="single"/>
        </w:rPr>
        <w:t>Originator</w:t>
      </w:r>
      <w:r>
        <w:rPr>
          <w:rFonts w:ascii="Times New Roman" w:hAnsi="Times New Roman"/>
          <w:sz w:val="20"/>
        </w:rPr>
        <w:t xml:space="preserve">” means each Person from time to time party to a Transfer Agreement as an “Originator” thereunder. </w:t>
      </w:r>
    </w:p>
    <w:p>
      <w:pPr>
        <w:pStyle w:val="TextBody"/>
        <w:bidi w:val="0"/>
        <w:spacing w:before="240" w:after="0"/>
        <w:jc w:val="left"/>
        <w:rPr/>
      </w:pPr>
      <w:r>
        <w:rPr/>
        <w:t>“</w:t>
      </w:r>
      <w:r>
        <w:rPr>
          <w:rFonts w:ascii="Times New Roman" w:hAnsi="Times New Roman"/>
          <w:sz w:val="20"/>
          <w:u w:val="single"/>
        </w:rPr>
        <w:t>Other Connection Taxes</w:t>
      </w:r>
      <w:r>
        <w:rPr>
          <w:rFonts w:ascii="Times New Roman" w:hAnsi="Times New Roman"/>
          <w:sz w:val="20"/>
        </w:rPr>
        <w:t xml:space="preserve">”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Transaction Document, or sold or assigned an interest in any Loan or Transaction Document). </w:t>
      </w:r>
    </w:p>
    <w:p>
      <w:pPr>
        <w:pStyle w:val="TextBody"/>
        <w:bidi w:val="0"/>
        <w:spacing w:before="240" w:after="0"/>
        <w:jc w:val="left"/>
        <w:rPr/>
      </w:pPr>
      <w:r>
        <w:rPr/>
        <w:t>“</w:t>
      </w:r>
      <w:r>
        <w:rPr>
          <w:rFonts w:ascii="Times New Roman" w:hAnsi="Times New Roman"/>
          <w:sz w:val="20"/>
          <w:u w:val="single"/>
        </w:rPr>
        <w:t>Other Taxes</w:t>
      </w:r>
      <w:r>
        <w:rPr>
          <w:rFonts w:ascii="Times New Roman" w:hAnsi="Times New Roman"/>
          <w:sz w:val="20"/>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Transaction Document, except any such Taxes that are Other Connection Taxes imposed with respect to an assignment.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Outstanding Balance</w:t>
      </w:r>
      <w:r>
        <w:rPr>
          <w:rFonts w:ascii="Times New Roman" w:hAnsi="Times New Roman"/>
          <w:sz w:val="20"/>
        </w:rPr>
        <w:t xml:space="preserve">” means, at any time, with respect to any Receivable, the Dollar Equivalent of the then outstanding principal balance thereof, including for the avoidance of doubt, any VAT. </w:t>
      </w:r>
    </w:p>
    <w:p>
      <w:pPr>
        <w:pStyle w:val="TextBody"/>
        <w:bidi w:val="0"/>
        <w:spacing w:before="240" w:after="0"/>
        <w:jc w:val="left"/>
        <w:rPr/>
      </w:pPr>
      <w:r>
        <w:rPr/>
        <w:t>“</w:t>
      </w:r>
      <w:r>
        <w:rPr>
          <w:rFonts w:ascii="Times New Roman" w:hAnsi="Times New Roman"/>
          <w:sz w:val="20"/>
          <w:u w:val="single"/>
        </w:rPr>
        <w:t>Overnight Bank Funding Rate</w:t>
      </w:r>
      <w:r>
        <w:rPr>
          <w:rFonts w:ascii="Times New Roman" w:hAnsi="Times New Roman"/>
          <w:sz w:val="20"/>
        </w:rPr>
        <w:t xml:space="preserve">” means for any day, the rate comprised of both overnight federal funds and overnight eurocurrency borrowings by U.S.-managed banking offices of depository institutions, as such composite rate shall be determined by the Federal Reserve Bank of New York, as set forth on its public website from time to time, and as published on the next succeeding Business Day as the overnight bank funding rate by the Federal Reserve Bank of New York (or by such other recognized electronic source (such as Bloomberg) selected by the Administrative Agent for the purpose of displaying such rate); </w:t>
      </w:r>
      <w:r>
        <w:rPr>
          <w:rFonts w:ascii="Times New Roman" w:hAnsi="Times New Roman"/>
          <w:sz w:val="20"/>
          <w:u w:val="single"/>
        </w:rPr>
        <w:t>provided</w:t>
      </w:r>
      <w:r>
        <w:rPr>
          <w:rFonts w:ascii="Times New Roman" w:hAnsi="Times New Roman"/>
          <w:sz w:val="20"/>
        </w:rPr>
        <w:t xml:space="preserve">, that if such day is not a Business Day, the Overnight Bank Funding Rate for such day shall be such rate on the immediately preceding Business Day;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such rate shall at any time, for any reason, no longer exist, a comparable replacement rate determined by the Administrative Agent at such time (which determination shall be conclusive absent manifest error). If the Overnight Bank Funding Rate determined as above would be less than zero, then such rate shall be deemed to be zero. The rate of interest charged shall be adjusted as of each Business Day based on changes in the Overnight Bank Funding Rate without notice to the Borrower. </w:t>
      </w:r>
    </w:p>
    <w:p>
      <w:pPr>
        <w:pStyle w:val="TextBody"/>
        <w:bidi w:val="0"/>
        <w:spacing w:before="240" w:after="0"/>
        <w:jc w:val="left"/>
        <w:rPr/>
      </w:pPr>
      <w:r>
        <w:rPr/>
        <w:t>“</w:t>
      </w:r>
      <w:r>
        <w:rPr>
          <w:rFonts w:ascii="Times New Roman" w:hAnsi="Times New Roman"/>
          <w:sz w:val="20"/>
          <w:u w:val="single"/>
        </w:rPr>
        <w:t>Parent</w:t>
      </w:r>
      <w:r>
        <w:rPr>
          <w:rFonts w:ascii="Times New Roman" w:hAnsi="Times New Roman"/>
          <w:sz w:val="20"/>
        </w:rPr>
        <w:t xml:space="preserve">” means Sabre Corporation, a Delaware corporation. </w:t>
      </w:r>
    </w:p>
    <w:p>
      <w:pPr>
        <w:pStyle w:val="TextBody"/>
        <w:bidi w:val="0"/>
        <w:spacing w:before="240" w:after="0"/>
        <w:jc w:val="left"/>
        <w:rPr/>
      </w:pPr>
      <w:r>
        <w:rPr/>
        <w:t>“</w:t>
      </w:r>
      <w:r>
        <w:rPr>
          <w:rFonts w:ascii="Times New Roman" w:hAnsi="Times New Roman"/>
          <w:sz w:val="20"/>
          <w:u w:val="single"/>
        </w:rPr>
        <w:t>Parent Group</w:t>
      </w:r>
      <w:r>
        <w:rPr>
          <w:rFonts w:ascii="Times New Roman" w:hAnsi="Times New Roman"/>
          <w:sz w:val="20"/>
        </w:rPr>
        <w:t xml:space="preserve">” has the meaning set forth in </w:t>
      </w:r>
      <w:r>
        <w:rPr>
          <w:rFonts w:ascii="Times New Roman" w:hAnsi="Times New Roman"/>
          <w:sz w:val="20"/>
          <w:u w:val="single"/>
        </w:rPr>
        <w:t>Section 7.03(c)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Participant</w:t>
      </w:r>
      <w:r>
        <w:rPr>
          <w:rFonts w:ascii="Times New Roman" w:hAnsi="Times New Roman"/>
          <w:sz w:val="20"/>
        </w:rPr>
        <w:t xml:space="preserve">” has the meaning set forth in </w:t>
      </w:r>
      <w:r>
        <w:rPr>
          <w:rFonts w:ascii="Times New Roman" w:hAnsi="Times New Roman"/>
          <w:sz w:val="20"/>
          <w:u w:val="single"/>
        </w:rPr>
        <w:t>Section 12.06(d)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Participant Register</w:t>
      </w:r>
      <w:r>
        <w:rPr>
          <w:rFonts w:ascii="Times New Roman" w:hAnsi="Times New Roman"/>
          <w:sz w:val="20"/>
        </w:rPr>
        <w:t xml:space="preserve">” has the meaning set forth in </w:t>
      </w:r>
      <w:r>
        <w:rPr>
          <w:rFonts w:ascii="Times New Roman" w:hAnsi="Times New Roman"/>
          <w:sz w:val="20"/>
          <w:u w:val="single"/>
        </w:rPr>
        <w:t>Section 12.06(d)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Payment Recipient</w:t>
      </w:r>
      <w:r>
        <w:rPr>
          <w:rFonts w:ascii="Times New Roman" w:hAnsi="Times New Roman"/>
          <w:sz w:val="20"/>
        </w:rPr>
        <w:t xml:space="preserve">” has the meaning assigned to it in </w:t>
      </w:r>
      <w:r>
        <w:rPr>
          <w:rFonts w:ascii="Times New Roman" w:hAnsi="Times New Roman"/>
          <w:sz w:val="20"/>
          <w:u w:val="single"/>
        </w:rPr>
        <w:t>Section 10.13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PBGC</w:t>
      </w:r>
      <w:r>
        <w:rPr>
          <w:rFonts w:ascii="Times New Roman" w:hAnsi="Times New Roman"/>
          <w:sz w:val="20"/>
        </w:rPr>
        <w:t xml:space="preserve">” means the Pension Benefit Guaranty Corporation established pursuant to Subtitle A of Title IV of ERISA or any successor. </w:t>
      </w:r>
    </w:p>
    <w:p>
      <w:pPr>
        <w:pStyle w:val="TextBody"/>
        <w:bidi w:val="0"/>
        <w:spacing w:before="240" w:after="0"/>
        <w:jc w:val="left"/>
        <w:rPr/>
      </w:pPr>
      <w:r>
        <w:rPr/>
        <w:t>“</w:t>
      </w:r>
      <w:r>
        <w:rPr>
          <w:rFonts w:ascii="Times New Roman" w:hAnsi="Times New Roman"/>
          <w:sz w:val="20"/>
          <w:u w:val="single"/>
        </w:rPr>
        <w:t>Pension Plan</w:t>
      </w:r>
      <w:r>
        <w:rPr>
          <w:rFonts w:ascii="Times New Roman" w:hAnsi="Times New Roman"/>
          <w:sz w:val="20"/>
        </w:rPr>
        <w:t xml:space="preserve">” means at any time an “employee pension benefit plan” (as such term is defined in Section 3(2) of ERISA) (including a “multiple employer plan” as described in Sections 4063 and 4064 of ERISA, but not a Multiemployer Plan) which is covered by Title IV of ERISA or is subject to the minimum funding standards under Section 412 or Section 430 of the Code and either (a) is sponsored, maintained or contributed to by any member of the ERISA Group for employees of any member of the ERISA Group, (b) has at any time within the preceding five years been sponsored, maintained or contributed to by any entity which was at such time a member of the ERISA Group for employees of any entity which was at such time a member of the ERISA Group, or in the case of a “multiple employer” or other plan described in Section 4064(a) of ERISA, has made contributions at any time during the immediately preceding five plan years or (c) or to which the Borrower or any member of the ERISA Group may have any liability (contingent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Percentage</w:t>
      </w:r>
      <w:r>
        <w:rPr>
          <w:rFonts w:ascii="Times New Roman" w:hAnsi="Times New Roman"/>
          <w:sz w:val="20"/>
        </w:rPr>
        <w:t xml:space="preserve">” means (a) with respect to all payments, computations and other matters relating to the Class A Commitment or Class A Loans of any Lender, the percentage obtained by dividing (i) the Class A Exposure of that Lender, by (ii) the aggregate Class A Exposure of all Lenders; (b) with respect to all payments, computations and other matters relating to the Class B Commitment or Class B Term Loans of any Lender, the percentage obtained by dividing (i) the Class B Exposure of that Lender, by (ii) the aggregate Class B Exposure of all Lenders and (c) for all other purposes with respect to each Lender, the percentage obtained by dividing (i) an amount equal to the aggregate outstanding principal amount of the Class A Loans and Class B Term Loans of that Lender, by (ii) an amount equal to the aggregate outstanding principal amount of the Class A Loans and Class B Term Loans of all Lenders. </w:t>
      </w:r>
    </w:p>
    <w:p>
      <w:pPr>
        <w:pStyle w:val="TextBody"/>
        <w:bidi w:val="0"/>
        <w:spacing w:before="240" w:after="0"/>
        <w:jc w:val="left"/>
        <w:rPr/>
      </w:pPr>
      <w:r>
        <w:rPr/>
        <w:t>“</w:t>
      </w:r>
      <w:r>
        <w:rPr>
          <w:rFonts w:ascii="Times New Roman" w:hAnsi="Times New Roman"/>
          <w:sz w:val="20"/>
          <w:u w:val="single"/>
        </w:rPr>
        <w:t>Performance Guarantor</w:t>
      </w:r>
      <w:r>
        <w:rPr>
          <w:rFonts w:ascii="Times New Roman" w:hAnsi="Times New Roman"/>
          <w:sz w:val="20"/>
        </w:rPr>
        <w:t xml:space="preserve">” means Parent. </w:t>
      </w:r>
    </w:p>
    <w:p>
      <w:pPr>
        <w:pStyle w:val="TextBody"/>
        <w:bidi w:val="0"/>
        <w:spacing w:before="240" w:after="0"/>
        <w:jc w:val="left"/>
        <w:rPr/>
      </w:pPr>
      <w:r>
        <w:rPr/>
        <w:t>“</w:t>
      </w:r>
      <w:r>
        <w:rPr>
          <w:rFonts w:ascii="Times New Roman" w:hAnsi="Times New Roman"/>
          <w:sz w:val="20"/>
          <w:u w:val="single"/>
        </w:rPr>
        <w:t>Performance Guaranty</w:t>
      </w:r>
      <w:r>
        <w:rPr>
          <w:rFonts w:ascii="Times New Roman" w:hAnsi="Times New Roman"/>
          <w:sz w:val="20"/>
        </w:rPr>
        <w:t xml:space="preserve">” means the </w:t>
      </w:r>
      <w:r>
        <w:rPr>
          <w:rFonts w:ascii="Times New Roman" w:hAnsi="Times New Roman"/>
          <w:color w:val="0000FF"/>
          <w:sz w:val="20"/>
          <w:u w:val="single"/>
          <w:bdr w:val="double" w:sz="2" w:space="1" w:color="000000"/>
        </w:rPr>
        <w:t xml:space="preserve">Amended and Restated </w:t>
      </w:r>
      <w:r>
        <w:rPr>
          <w:rFonts w:ascii="Times New Roman" w:hAnsi="Times New Roman"/>
          <w:sz w:val="20"/>
        </w:rPr>
        <w:t xml:space="preserve">Performance Guaranty, to be dated on or about </w:t>
      </w:r>
      <w:r>
        <w:rPr>
          <w:rFonts w:ascii="Times New Roman" w:hAnsi="Times New Roman"/>
          <w:strike/>
          <w:color w:val="FF0000"/>
          <w:sz w:val="20"/>
        </w:rPr>
        <w:t>the Initial Funding Date</w:t>
      </w:r>
      <w:r>
        <w:rPr>
          <w:rFonts w:ascii="Times New Roman" w:hAnsi="Times New Roman"/>
          <w:color w:val="0000FF"/>
          <w:sz w:val="20"/>
          <w:u w:val="single"/>
          <w:bdr w:val="double" w:sz="2" w:space="1" w:color="000000"/>
        </w:rPr>
        <w:t>September 30, 2026</w:t>
      </w:r>
      <w:r>
        <w:rPr>
          <w:rFonts w:ascii="Times New Roman" w:hAnsi="Times New Roman"/>
          <w:sz w:val="20"/>
        </w:rPr>
        <w:t xml:space="preserve">, by the Performance Guarantor in favor of the Administrative Agent for the benefit of the Secured Parties. </w:t>
      </w:r>
    </w:p>
    <w:p>
      <w:pPr>
        <w:pStyle w:val="TextBody"/>
        <w:bidi w:val="0"/>
        <w:spacing w:before="240" w:after="0"/>
        <w:jc w:val="left"/>
        <w:rPr/>
      </w:pPr>
      <w:r>
        <w:rPr/>
        <w:t>“</w:t>
      </w:r>
      <w:r>
        <w:rPr>
          <w:rFonts w:ascii="Times New Roman" w:hAnsi="Times New Roman"/>
          <w:sz w:val="20"/>
          <w:u w:val="single"/>
        </w:rPr>
        <w:t>Permitted Linked Account</w:t>
      </w:r>
      <w:r>
        <w:rPr>
          <w:rFonts w:ascii="Times New Roman" w:hAnsi="Times New Roman"/>
          <w:sz w:val="20"/>
        </w:rPr>
        <w:t>” means each of accounts 31383323</w:t>
      </w:r>
      <w:r>
        <w:rPr>
          <w:rFonts w:ascii="Times New Roman" w:hAnsi="Times New Roman"/>
          <w:strike/>
          <w:color w:val="FF0000"/>
          <w:sz w:val="20"/>
        </w:rPr>
        <w:t xml:space="preserve"> and 600835136078</w:t>
      </w:r>
      <w:r>
        <w:rPr>
          <w:rFonts w:ascii="Times New Roman" w:hAnsi="Times New Roman"/>
          <w:color w:val="0000FF"/>
          <w:sz w:val="20"/>
          <w:u w:val="single"/>
          <w:bdr w:val="double" w:sz="2" w:space="1" w:color="000000"/>
        </w:rPr>
        <w:t>, 600889042031 and any such other deposit account relating to Collection Accounts in Singapore provided in a written notice to the Administrative Agent on or about September 30, 2026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any natural person, corporation, limited liability company, trust, joint venture, association, company, partnership, Official Body or other entity. </w:t>
      </w:r>
    </w:p>
    <w:p>
      <w:pPr>
        <w:pStyle w:val="TextBody"/>
        <w:bidi w:val="0"/>
        <w:spacing w:before="240" w:after="0"/>
        <w:jc w:val="left"/>
        <w:rPr/>
      </w:pPr>
      <w:r>
        <w:rPr/>
        <w:t>“</w:t>
      </w:r>
      <w:r>
        <w:rPr>
          <w:rFonts w:ascii="Times New Roman" w:hAnsi="Times New Roman"/>
          <w:sz w:val="20"/>
          <w:u w:val="single"/>
        </w:rPr>
        <w:t>Plan</w:t>
      </w:r>
      <w:r>
        <w:rPr>
          <w:rFonts w:ascii="Times New Roman" w:hAnsi="Times New Roman"/>
          <w:sz w:val="20"/>
        </w:rPr>
        <w:t xml:space="preserve">” means any employee benefit plan within the meaning of Section 3(3) of ERISA (including a Pension Plan), maintained for employees of the Borrower or any member of the ERISA Group or any such Plan to which the Borrower or any member of the ERISA Group is required to contribute on behalf of any of its employees. </w:t>
      </w:r>
    </w:p>
    <w:p>
      <w:pPr>
        <w:pStyle w:val="TextBody"/>
        <w:bidi w:val="0"/>
        <w:spacing w:before="240" w:after="0"/>
        <w:jc w:val="left"/>
        <w:rPr/>
      </w:pPr>
      <w:r>
        <w:rPr/>
        <w:t>“</w:t>
      </w:r>
      <w:r>
        <w:rPr>
          <w:rFonts w:ascii="Times New Roman" w:hAnsi="Times New Roman"/>
          <w:sz w:val="20"/>
          <w:u w:val="single"/>
        </w:rPr>
        <w:t>Platform</w:t>
      </w:r>
      <w:r>
        <w:rPr>
          <w:rFonts w:ascii="Times New Roman" w:hAnsi="Times New Roman"/>
          <w:sz w:val="20"/>
        </w:rPr>
        <w:t xml:space="preserve">” means Debt Domain, Intralinks, Syndtrak or a substantially similar electronic transmission system. </w:t>
      </w:r>
    </w:p>
    <w:p>
      <w:pPr>
        <w:pStyle w:val="TextBody"/>
        <w:bidi w:val="0"/>
        <w:spacing w:before="240" w:after="0"/>
        <w:jc w:val="left"/>
        <w:rPr/>
      </w:pPr>
      <w:r>
        <w:rPr/>
        <w:t>“</w:t>
      </w:r>
      <w:r>
        <w:rPr>
          <w:rFonts w:ascii="Times New Roman" w:hAnsi="Times New Roman"/>
          <w:sz w:val="20"/>
          <w:u w:val="single"/>
        </w:rPr>
        <w:t>PNC</w:t>
      </w:r>
      <w:r>
        <w:rPr>
          <w:rFonts w:ascii="Times New Roman" w:hAnsi="Times New Roman"/>
          <w:sz w:val="20"/>
        </w:rPr>
        <w:t xml:space="preserve">” has the meaning set forth in the </w:t>
      </w:r>
      <w:r>
        <w:rPr>
          <w:rFonts w:ascii="Times New Roman" w:hAnsi="Times New Roman"/>
          <w:sz w:val="20"/>
          <w:u w:val="single"/>
        </w:rPr>
        <w:t>preamble</w:t>
      </w:r>
      <w:r>
        <w:rPr>
          <w:rFonts w:ascii="Times New Roman" w:hAnsi="Times New Roman"/>
          <w:sz w:val="20"/>
        </w:rPr>
        <w:t xml:space="preserve"> to this Agreement. </w:t>
      </w:r>
    </w:p>
    <w:p>
      <w:pPr>
        <w:pStyle w:val="TextBody"/>
        <w:bidi w:val="0"/>
        <w:spacing w:before="240" w:after="0"/>
        <w:jc w:val="left"/>
        <w:rPr/>
      </w:pPr>
      <w:r>
        <w:rPr/>
        <w:t>“</w:t>
      </w:r>
      <w:r>
        <w:rPr>
          <w:rFonts w:ascii="Times New Roman" w:hAnsi="Times New Roman"/>
          <w:sz w:val="20"/>
          <w:u w:val="single"/>
        </w:rPr>
        <w:t>Pool Receivable</w:t>
      </w:r>
      <w:r>
        <w:rPr>
          <w:rFonts w:ascii="Times New Roman" w:hAnsi="Times New Roman"/>
          <w:sz w:val="20"/>
        </w:rPr>
        <w:t xml:space="preserve">” means a Receivable in the Receivables Pool. </w:t>
      </w:r>
    </w:p>
    <w:p>
      <w:pPr>
        <w:pStyle w:val="TextBody"/>
        <w:bidi w:val="0"/>
        <w:spacing w:before="240" w:after="0"/>
        <w:jc w:val="left"/>
        <w:rPr/>
      </w:pPr>
      <w:r>
        <w:rPr/>
        <w:t>“</w:t>
      </w:r>
      <w:r>
        <w:rPr>
          <w:rFonts w:ascii="Times New Roman" w:hAnsi="Times New Roman"/>
          <w:sz w:val="20"/>
          <w:u w:val="single"/>
        </w:rPr>
        <w:t>Pool Report</w:t>
      </w:r>
      <w:r>
        <w:rPr>
          <w:rFonts w:ascii="Times New Roman" w:hAnsi="Times New Roman"/>
          <w:sz w:val="20"/>
        </w:rPr>
        <w:t xml:space="preserve">” means each Monthly Report, Weekly Report and Daily Report. </w:t>
      </w:r>
    </w:p>
    <w:p>
      <w:pPr>
        <w:pStyle w:val="TextBody"/>
        <w:bidi w:val="0"/>
        <w:spacing w:before="240" w:after="0"/>
        <w:jc w:val="left"/>
        <w:rPr/>
      </w:pPr>
      <w:r>
        <w:rPr/>
        <w:t>“</w:t>
      </w:r>
      <w:r>
        <w:rPr>
          <w:rFonts w:ascii="Times New Roman" w:hAnsi="Times New Roman"/>
          <w:sz w:val="20"/>
          <w:u w:val="single"/>
        </w:rPr>
        <w:t>Potential Default</w:t>
      </w:r>
      <w:r>
        <w:rPr>
          <w:rFonts w:ascii="Times New Roman" w:hAnsi="Times New Roman"/>
          <w:sz w:val="20"/>
        </w:rPr>
        <w:t xml:space="preserve">” means any event or condition which with notice or passage of time, or both, would constitute an Event of Default. </w:t>
      </w:r>
    </w:p>
    <w:p>
      <w:pPr>
        <w:pStyle w:val="TextBody"/>
        <w:bidi w:val="0"/>
        <w:spacing w:before="240" w:after="0"/>
        <w:jc w:val="left"/>
        <w:rPr/>
      </w:pPr>
      <w:r>
        <w:rPr/>
        <w:t>“</w:t>
      </w:r>
      <w:r>
        <w:rPr>
          <w:rFonts w:ascii="Times New Roman" w:hAnsi="Times New Roman"/>
          <w:sz w:val="20"/>
          <w:u w:val="single"/>
        </w:rPr>
        <w:t>Prime Rate</w:t>
      </w:r>
      <w:r>
        <w:rPr>
          <w:rFonts w:ascii="Times New Roman" w:hAnsi="Times New Roman"/>
          <w:sz w:val="20"/>
        </w:rPr>
        <w:t xml:space="preserve">” means the interest rate per annum announced from time to time by the Administrative Agent at its main offices in Pittsburgh, Pennsylvania as its then prime rate, which rate may not be the lowest or most favorable rate then being charged to commercial borrowers or others by the Administrative Agent and may not be tied to any external rate of interest or index. Any change in the Prime Rate shall take effect at the opening of business on the day such change is announced.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Principal</w:t>
      </w:r>
      <w:r>
        <w:rPr>
          <w:rFonts w:ascii="Times New Roman" w:hAnsi="Times New Roman"/>
          <w:sz w:val="20"/>
        </w:rPr>
        <w:t xml:space="preserve">” means, with respect to any Lender, the aggregate amounts paid to, or on behalf of, the Borrower in connection with all Loans made by such Lender pursuant to </w:t>
      </w:r>
      <w:r>
        <w:rPr>
          <w:rFonts w:ascii="Times New Roman" w:hAnsi="Times New Roman"/>
          <w:sz w:val="20"/>
          <w:u w:val="single"/>
        </w:rPr>
        <w:t>Article II</w:t>
      </w:r>
      <w:r>
        <w:rPr>
          <w:rFonts w:ascii="Times New Roman" w:hAnsi="Times New Roman"/>
          <w:sz w:val="20"/>
        </w:rPr>
        <w:t xml:space="preserve">, as reduced from time to time by Collections or other funds of the Borrower that have been distributed to such Lender and applied as a repayment of Principal in accordance with this Agreement; </w:t>
      </w:r>
      <w:r>
        <w:rPr>
          <w:rFonts w:ascii="Times New Roman" w:hAnsi="Times New Roman"/>
          <w:sz w:val="20"/>
          <w:u w:val="single"/>
        </w:rPr>
        <w:t>provided</w:t>
      </w:r>
      <w:r>
        <w:rPr>
          <w:rFonts w:ascii="Times New Roman" w:hAnsi="Times New Roman"/>
          <w:sz w:val="20"/>
        </w:rPr>
        <w:t xml:space="preserve">, that if such Principal shall have been reduced by any distribution and thereafter all or a portion of such distribution is rescinded or must otherwise be returned for any reason, such Principal shall be increased by the amount of such rescinded or returned distribution as though it had not been made. </w:t>
      </w:r>
    </w:p>
    <w:p>
      <w:pPr>
        <w:pStyle w:val="TextBody"/>
        <w:bidi w:val="0"/>
        <w:spacing w:before="240" w:after="0"/>
        <w:jc w:val="left"/>
        <w:rPr/>
      </w:pPr>
      <w:r>
        <w:rPr/>
        <w:t>“</w:t>
      </w:r>
      <w:r>
        <w:rPr>
          <w:rFonts w:ascii="Times New Roman" w:hAnsi="Times New Roman"/>
          <w:sz w:val="20"/>
          <w:u w:val="single"/>
        </w:rPr>
        <w:t>Qualifying IPO</w:t>
      </w:r>
      <w:r>
        <w:rPr>
          <w:rFonts w:ascii="Times New Roman" w:hAnsi="Times New Roman"/>
          <w:sz w:val="20"/>
        </w:rPr>
        <w:t xml:space="preserve">” means the issuance by Parent or any direct or indirect parent of Parent of its common Equity Interests in an underwritten primary public offering (other than a public offering pursuant to a registration statement on Form S-8) pursuant to an effective registration statement filed with the SEC in accordance with the Securities Act (whether alone or in connection with a secondary public offering). </w:t>
      </w:r>
    </w:p>
    <w:p>
      <w:pPr>
        <w:pStyle w:val="TextBody"/>
        <w:bidi w:val="0"/>
        <w:spacing w:before="240" w:after="0"/>
        <w:jc w:val="left"/>
        <w:rPr/>
      </w:pPr>
      <w:r>
        <w:rPr/>
        <w:t>“</w:t>
      </w:r>
      <w:r>
        <w:rPr>
          <w:rFonts w:ascii="Times New Roman" w:hAnsi="Times New Roman"/>
          <w:sz w:val="20"/>
          <w:u w:val="single"/>
        </w:rPr>
        <w:t>Receivable</w:t>
      </w:r>
      <w:r>
        <w:rPr>
          <w:rFonts w:ascii="Times New Roman" w:hAnsi="Times New Roman"/>
          <w:sz w:val="20"/>
        </w:rPr>
        <w:t xml:space="preserve">” means any right to payment of a monetary obligation, whether or not earned by performance, owed to any Originator or the Borrower (as assignee of an Originator), whether constituting an account, chattel paper, payment intangible, instrument or general intangible, in each instance arising in connection with the sale of goods that have been or are to be sold or for services rendered or to be rendered, and includes the obligation to pay any service charges, finance charges, interest, fees and other charges with respect thereto;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Excluded Receivable shall constitute a “Receivable”. Any such right to payment arising from any one transaction, including any such right to payment represented by an individual invoice or agreement, shall constitute a Receivable separate from a Receivable consisting of any such right to payment arising from any other transaction. </w:t>
      </w:r>
    </w:p>
    <w:p>
      <w:pPr>
        <w:pStyle w:val="TextBody"/>
        <w:bidi w:val="0"/>
        <w:spacing w:before="240" w:after="0"/>
        <w:jc w:val="left"/>
        <w:rPr/>
      </w:pPr>
      <w:r>
        <w:rPr/>
        <w:t>“</w:t>
      </w:r>
      <w:r>
        <w:rPr>
          <w:rFonts w:ascii="Times New Roman" w:hAnsi="Times New Roman"/>
          <w:sz w:val="20"/>
          <w:u w:val="single"/>
        </w:rPr>
        <w:t>Receivables Pool</w:t>
      </w:r>
      <w:r>
        <w:rPr>
          <w:rFonts w:ascii="Times New Roman" w:hAnsi="Times New Roman"/>
          <w:sz w:val="20"/>
        </w:rPr>
        <w:t xml:space="preserve">” means, at any time, all of the then outstanding Receivables transferred (or purported to be transferred) to the Borrower pursuant to the applicable Transfer Agreement. </w:t>
      </w:r>
    </w:p>
    <w:p>
      <w:pPr>
        <w:pStyle w:val="TextBody"/>
        <w:bidi w:val="0"/>
        <w:spacing w:before="240" w:after="0"/>
        <w:jc w:val="left"/>
        <w:rPr/>
      </w:pPr>
      <w:r>
        <w:rPr/>
        <w:t>“</w:t>
      </w:r>
      <w:r>
        <w:rPr>
          <w:rFonts w:ascii="Times New Roman" w:hAnsi="Times New Roman"/>
          <w:sz w:val="20"/>
          <w:u w:val="single"/>
        </w:rPr>
        <w:t>Recipient</w:t>
      </w:r>
      <w:r>
        <w:rPr>
          <w:rFonts w:ascii="Times New Roman" w:hAnsi="Times New Roman"/>
          <w:sz w:val="20"/>
        </w:rPr>
        <w:t xml:space="preserve">” means (a) the Administrative Agent and (b) any Lender, as applicable. </w:t>
      </w:r>
    </w:p>
    <w:p>
      <w:pPr>
        <w:pStyle w:val="TextBody"/>
        <w:bidi w:val="0"/>
        <w:spacing w:before="240" w:after="0"/>
        <w:jc w:val="left"/>
        <w:rPr/>
      </w:pPr>
      <w:r>
        <w:rPr/>
        <w:t>“</w:t>
      </w:r>
      <w:r>
        <w:rPr>
          <w:rFonts w:ascii="Times New Roman" w:hAnsi="Times New Roman"/>
          <w:sz w:val="20"/>
          <w:u w:val="single"/>
        </w:rPr>
        <w:t>Reduction Notice</w:t>
      </w:r>
      <w:r>
        <w:rPr>
          <w:rFonts w:ascii="Times New Roman" w:hAnsi="Times New Roman"/>
          <w:sz w:val="20"/>
        </w:rPr>
        <w:t xml:space="preserve">” means a letter in substantially the form of </w:t>
      </w:r>
      <w:r>
        <w:rPr>
          <w:rFonts w:ascii="Times New Roman" w:hAnsi="Times New Roman"/>
          <w:sz w:val="20"/>
          <w:u w:val="single"/>
        </w:rPr>
        <w:t>Exhibit B</w:t>
      </w:r>
      <w:r>
        <w:rPr>
          <w:rFonts w:ascii="Times New Roman" w:hAnsi="Times New Roman"/>
          <w:sz w:val="20"/>
        </w:rPr>
        <w:t xml:space="preserve"> hereto delivered by the Borrower to the Administrative Agent </w:t>
      </w:r>
      <w:r>
        <w:rPr>
          <w:rFonts w:ascii="Times New Roman" w:hAnsi="Times New Roman"/>
          <w:strike/>
          <w:color w:val="FF0000"/>
          <w:sz w:val="20"/>
        </w:rPr>
        <w:t xml:space="preserve">and the Lenders </w:t>
      </w:r>
      <w:r>
        <w:rPr>
          <w:rFonts w:ascii="Times New Roman" w:hAnsi="Times New Roman"/>
          <w:sz w:val="20"/>
        </w:rPr>
        <w:t xml:space="preserve">pursuant to </w:t>
      </w:r>
      <w:r>
        <w:rPr>
          <w:rFonts w:ascii="Times New Roman" w:hAnsi="Times New Roman"/>
          <w:sz w:val="20"/>
          <w:u w:val="single"/>
        </w:rPr>
        <w:t>Section 2.02(d)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Register</w:t>
      </w:r>
      <w:r>
        <w:rPr>
          <w:rFonts w:ascii="Times New Roman" w:hAnsi="Times New Roman"/>
          <w:sz w:val="20"/>
        </w:rPr>
        <w:t xml:space="preserve">” has the meaning set forth in </w:t>
      </w:r>
      <w:r>
        <w:rPr>
          <w:rFonts w:ascii="Times New Roman" w:hAnsi="Times New Roman"/>
          <w:sz w:val="20"/>
          <w:u w:val="single"/>
        </w:rPr>
        <w:t>Section 12.06(c)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Related Fund</w:t>
      </w:r>
      <w:r>
        <w:rPr>
          <w:rFonts w:ascii="Times New Roman" w:hAnsi="Times New Roman"/>
          <w:sz w:val="20"/>
        </w:rPr>
        <w:t xml:space="preserve">” means, with respect to any Lender that is an investment fund or other investment vehicle, any other investment fund that invests in commercial loans and that is managed or advised by the same Person as such Lender or by an Affiliate of such Person. </w:t>
      </w:r>
    </w:p>
    <w:p>
      <w:pPr>
        <w:pStyle w:val="TextBody"/>
        <w:bidi w:val="0"/>
        <w:spacing w:before="240" w:after="0"/>
        <w:jc w:val="left"/>
        <w:rPr/>
      </w:pPr>
      <w:r>
        <w:rPr/>
        <w:t>“</w:t>
      </w:r>
      <w:r>
        <w:rPr>
          <w:rFonts w:ascii="Times New Roman" w:hAnsi="Times New Roman"/>
          <w:sz w:val="20"/>
          <w:u w:val="single"/>
        </w:rPr>
        <w:t>Related Parties</w:t>
      </w:r>
      <w:r>
        <w:rPr>
          <w:rFonts w:ascii="Times New Roman" w:hAnsi="Times New Roman"/>
          <w:sz w:val="20"/>
        </w:rPr>
        <w:t xml:space="preserve">” means, with respect to any Person, such Person’s Affiliates and the partners, directors, officers, employees, agents and advisors of such Person and of such Person’s Affiliates. </w:t>
      </w:r>
    </w:p>
    <w:p>
      <w:pPr>
        <w:pStyle w:val="TextBody"/>
        <w:bidi w:val="0"/>
        <w:spacing w:before="240" w:after="0"/>
        <w:jc w:val="left"/>
        <w:rPr/>
      </w:pPr>
      <w:r>
        <w:rPr/>
        <w:t>“</w:t>
      </w:r>
      <w:r>
        <w:rPr>
          <w:rFonts w:ascii="Times New Roman" w:hAnsi="Times New Roman"/>
          <w:sz w:val="20"/>
          <w:u w:val="single"/>
        </w:rPr>
        <w:t>Related Rights</w:t>
      </w:r>
      <w:r>
        <w:rPr>
          <w:rFonts w:ascii="Times New Roman" w:hAnsi="Times New Roman"/>
          <w:sz w:val="20"/>
        </w:rPr>
        <w:t xml:space="preserve">” has the meaning set forth in the applicable Transfer Agreement. </w:t>
      </w:r>
    </w:p>
    <w:p>
      <w:pPr>
        <w:pStyle w:val="TextBody"/>
        <w:bidi w:val="0"/>
        <w:spacing w:before="240" w:after="0"/>
        <w:jc w:val="left"/>
        <w:rPr/>
      </w:pPr>
      <w:r>
        <w:rPr/>
        <w:t>“</w:t>
      </w:r>
      <w:r>
        <w:rPr>
          <w:rFonts w:ascii="Times New Roman" w:hAnsi="Times New Roman"/>
          <w:sz w:val="20"/>
          <w:u w:val="single"/>
        </w:rPr>
        <w:t>Related Security</w:t>
      </w:r>
      <w:r>
        <w:rPr>
          <w:rFonts w:ascii="Times New Roman" w:hAnsi="Times New Roman"/>
          <w:sz w:val="20"/>
        </w:rPr>
        <w:t xml:space="preserve">” means, with respect to any Receivable: </w:t>
      </w:r>
    </w:p>
    <w:p>
      <w:pPr>
        <w:pStyle w:val="TextBody"/>
        <w:bidi w:val="0"/>
        <w:spacing w:before="120" w:after="0"/>
        <w:jc w:val="left"/>
        <w:rPr>
          <w:rFonts w:ascii="Times New Roman" w:hAnsi="Times New Roman"/>
          <w:sz w:val="20"/>
        </w:rPr>
      </w:pPr>
      <w:r>
        <w:rPr>
          <w:rFonts w:ascii="Times New Roman" w:hAnsi="Times New Roman"/>
          <w:sz w:val="20"/>
        </w:rPr>
        <w:t xml:space="preserve">(a) all of the Borrower’s and each Originator’s interest in any goods (including Returned Goods), and documentation of title evidencing the shipment or storage of any goods (including Returned Goods), the sale of which gave rise to such Receivable;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all instruments and chattel paper that may evidence such Receivable; </w:t>
      </w:r>
    </w:p>
    <w:p>
      <w:pPr>
        <w:pStyle w:val="TextBody"/>
        <w:bidi w:val="0"/>
        <w:spacing w:before="120" w:after="0"/>
        <w:jc w:val="left"/>
        <w:rPr>
          <w:rFonts w:ascii="Times New Roman" w:hAnsi="Times New Roman"/>
          <w:sz w:val="20"/>
        </w:rPr>
      </w:pPr>
      <w:r>
        <w:rPr>
          <w:rFonts w:ascii="Times New Roman" w:hAnsi="Times New Roman"/>
          <w:sz w:val="20"/>
        </w:rPr>
        <w:t xml:space="preserve">(c) all letter of credit rights, other security interests or liens and property subject thereto from time to time purporting to secure payment of such Receivable, whether pursuant to the Contract related to such Receivable or otherwise, together with all UCC financing statements or similar filings relating thereto; </w:t>
      </w:r>
    </w:p>
    <w:p>
      <w:pPr>
        <w:pStyle w:val="TextBody"/>
        <w:bidi w:val="0"/>
        <w:spacing w:before="120" w:after="0"/>
        <w:jc w:val="left"/>
        <w:rPr>
          <w:rFonts w:ascii="Times New Roman" w:hAnsi="Times New Roman"/>
          <w:sz w:val="20"/>
        </w:rPr>
      </w:pPr>
      <w:r>
        <w:rPr>
          <w:rFonts w:ascii="Times New Roman" w:hAnsi="Times New Roman"/>
          <w:sz w:val="20"/>
        </w:rPr>
        <w:t xml:space="preserve">(d) all of the Borrower’s and each Originator’s rights, interests and claims under the related Contracts and all guaranties, indemnities, insurance (including any Credit Insurance Policy) and other agreements (including the related Contract) or arrangements of whatever character from time to time supporting or securing payment of such Receivable or otherwise relating to such Receivable, whether pursuant to the Contract related to such Receivable or otherwise; </w:t>
      </w:r>
    </w:p>
    <w:p>
      <w:pPr>
        <w:pStyle w:val="TextBody"/>
        <w:bidi w:val="0"/>
        <w:spacing w:before="120" w:after="0"/>
        <w:jc w:val="left"/>
        <w:rPr>
          <w:rFonts w:ascii="Times New Roman" w:hAnsi="Times New Roman"/>
          <w:sz w:val="20"/>
        </w:rPr>
      </w:pPr>
      <w:r>
        <w:rPr>
          <w:rFonts w:ascii="Times New Roman" w:hAnsi="Times New Roman"/>
          <w:sz w:val="20"/>
        </w:rPr>
        <w:t xml:space="preserve">(e) all books and records of the Borrower and each Originator to the extent related to any of the foregoing, and all rights, remedies, powers, privileges, title and interest (but not obligations) in and to each Lock-Box and Collection Account, into which any Collections or other proceeds with respect to such Receivables may be deposited, and any related investment property acquired with any such Collections or other proceeds (as such term is defined in the applicable UCC); </w:t>
      </w:r>
    </w:p>
    <w:p>
      <w:pPr>
        <w:pStyle w:val="TextBody"/>
        <w:bidi w:val="0"/>
        <w:spacing w:before="120" w:after="0"/>
        <w:jc w:val="left"/>
        <w:rPr>
          <w:rFonts w:ascii="Times New Roman" w:hAnsi="Times New Roman"/>
          <w:sz w:val="20"/>
        </w:rPr>
      </w:pPr>
      <w:r>
        <w:rPr>
          <w:rFonts w:ascii="Times New Roman" w:hAnsi="Times New Roman"/>
          <w:sz w:val="20"/>
        </w:rPr>
        <w:t xml:space="preserve">(f) all of the Borrower’s rights, interests and claims under the applicable Transfer Agreement and the other Transaction Documents; and </w:t>
      </w:r>
    </w:p>
    <w:p>
      <w:pPr>
        <w:pStyle w:val="TextBody"/>
        <w:bidi w:val="0"/>
        <w:spacing w:before="120" w:after="0"/>
        <w:jc w:val="left"/>
        <w:rPr>
          <w:rFonts w:ascii="Times New Roman" w:hAnsi="Times New Roman"/>
          <w:sz w:val="20"/>
        </w:rPr>
      </w:pPr>
      <w:r>
        <w:rPr>
          <w:rFonts w:ascii="Times New Roman" w:hAnsi="Times New Roman"/>
          <w:sz w:val="20"/>
        </w:rPr>
        <w:t xml:space="preserve">(g) all Collections and other proceeds (as defined in the UCC) of any of the foregoing. </w:t>
      </w:r>
    </w:p>
    <w:p>
      <w:pPr>
        <w:pStyle w:val="TextBody"/>
        <w:bidi w:val="0"/>
        <w:spacing w:before="240" w:after="0"/>
        <w:jc w:val="left"/>
        <w:rPr/>
      </w:pPr>
      <w:r>
        <w:rPr/>
        <w:t>“</w:t>
      </w:r>
      <w:r>
        <w:rPr>
          <w:rFonts w:ascii="Times New Roman" w:hAnsi="Times New Roman"/>
          <w:sz w:val="20"/>
          <w:u w:val="single"/>
        </w:rPr>
        <w:t>Release</w:t>
      </w:r>
      <w:r>
        <w:rPr>
          <w:rFonts w:ascii="Times New Roman" w:hAnsi="Times New Roman"/>
          <w:sz w:val="20"/>
        </w:rPr>
        <w:t xml:space="preserve">” has the meaning set forth in </w:t>
      </w:r>
      <w:r>
        <w:rPr>
          <w:rFonts w:ascii="Times New Roman" w:hAnsi="Times New Roman"/>
          <w:sz w:val="20"/>
          <w:u w:val="single"/>
        </w:rPr>
        <w:t>Section 3.01(a)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Relief Proceeding</w:t>
      </w:r>
      <w:r>
        <w:rPr>
          <w:rFonts w:ascii="Times New Roman" w:hAnsi="Times New Roman"/>
          <w:sz w:val="20"/>
        </w:rPr>
        <w:t xml:space="preserve">” means with respect to any Person, any proceeding seeking a decree or order for relief in respect of such Person in a voluntary or involuntary case under any applicable bankruptcy, insolvency, reorganization or other similar law now or hereafter in effect, or for the appointment of a receiver, liquidator, assignee, custodian, trustee, sequestrator, conservator (or similar official) of such Person for any substantial part of its property, or for the winding-up or liquidation of its affairs, or an assignment for the benefit of its creditors. </w:t>
      </w:r>
    </w:p>
    <w:p>
      <w:pPr>
        <w:pStyle w:val="TextBody"/>
        <w:bidi w:val="0"/>
        <w:spacing w:before="240" w:after="0"/>
        <w:jc w:val="left"/>
        <w:rPr/>
      </w:pPr>
      <w:r>
        <w:rPr/>
        <w:t>“</w:t>
      </w:r>
      <w:r>
        <w:rPr>
          <w:rFonts w:ascii="Times New Roman" w:hAnsi="Times New Roman"/>
          <w:sz w:val="20"/>
          <w:u w:val="single"/>
        </w:rPr>
        <w:t>Removal Effective Date</w:t>
      </w:r>
      <w:r>
        <w:rPr>
          <w:rFonts w:ascii="Times New Roman" w:hAnsi="Times New Roman"/>
          <w:sz w:val="20"/>
        </w:rPr>
        <w:t xml:space="preserve">” has the meaning set forth in </w:t>
      </w:r>
      <w:r>
        <w:rPr>
          <w:rFonts w:ascii="Times New Roman" w:hAnsi="Times New Roman"/>
          <w:sz w:val="20"/>
          <w:u w:val="single"/>
        </w:rPr>
        <w:t>Section 10.06(b)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Reportable Compliance Event</w:t>
      </w:r>
      <w:r>
        <w:rPr>
          <w:rFonts w:ascii="Times New Roman" w:hAnsi="Times New Roman"/>
          <w:sz w:val="20"/>
        </w:rPr>
        <w:t xml:space="preserve">” means that: (a) any Covered Entity becomes a Sanctioned Person; (b) any Collateral becomes Blocked Property; (c) any violation of International Trade Laws or (c) any Covered Entity otherwise violates any of the representations or covenant (including any negative covenant) of this Agreement. </w:t>
      </w:r>
    </w:p>
    <w:p>
      <w:pPr>
        <w:pStyle w:val="TextBody"/>
        <w:bidi w:val="0"/>
        <w:spacing w:before="240" w:after="0"/>
        <w:jc w:val="left"/>
        <w:rPr/>
      </w:pPr>
      <w:r>
        <w:rPr/>
        <w:t>“</w:t>
      </w:r>
      <w:r>
        <w:rPr>
          <w:rFonts w:ascii="Times New Roman" w:hAnsi="Times New Roman"/>
          <w:sz w:val="20"/>
          <w:u w:val="single"/>
        </w:rPr>
        <w:t>Required Capital Amount</w:t>
      </w:r>
      <w:r>
        <w:rPr>
          <w:rFonts w:ascii="Times New Roman" w:hAnsi="Times New Roman"/>
          <w:sz w:val="20"/>
        </w:rPr>
        <w:t xml:space="preserve">” means (i) initially $27,200,000 and (ii) the amount determined annually by the U.S. Servicer and notified to the Borrower and the Administrative Agent in writing on or before the Monthly Settlement Date in February of each year, starting in 2024, equal to 17.5% of the average of the Net Receivables Pool Balance (as reported in the applicable Monthly Reports) for the preceding calendar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Required Class A Lenders</w:t>
      </w:r>
      <w:r>
        <w:rPr>
          <w:rFonts w:ascii="Times New Roman" w:hAnsi="Times New Roman"/>
          <w:sz w:val="20"/>
        </w:rPr>
        <w:t xml:space="preserve">” means, at any time of determination, for the Class of Lenders having Class A Exposure, Lenders whose Percentage (calculated in accordance with </w:t>
      </w:r>
      <w:r>
        <w:rPr>
          <w:rFonts w:ascii="Times New Roman" w:hAnsi="Times New Roman"/>
          <w:sz w:val="20"/>
          <w:u w:val="single"/>
        </w:rPr>
        <w:t>clause (a)</w:t>
      </w:r>
      <w:r>
        <w:rPr>
          <w:rFonts w:ascii="Times New Roman" w:hAnsi="Times New Roman"/>
          <w:sz w:val="20"/>
        </w:rPr>
        <w:t xml:space="preserve"> of the definition thereof), aggregate more than 50.0%. </w:t>
      </w:r>
    </w:p>
    <w:p>
      <w:pPr>
        <w:pStyle w:val="TextBody"/>
        <w:bidi w:val="0"/>
        <w:spacing w:before="240" w:after="0"/>
        <w:jc w:val="left"/>
        <w:rPr/>
      </w:pPr>
      <w:r>
        <w:rPr/>
        <w:t>“</w:t>
      </w:r>
      <w:r>
        <w:rPr>
          <w:rFonts w:ascii="Times New Roman" w:hAnsi="Times New Roman"/>
          <w:sz w:val="20"/>
          <w:u w:val="single"/>
        </w:rPr>
        <w:t>Required Class B Lenders</w:t>
      </w:r>
      <w:r>
        <w:rPr>
          <w:rFonts w:ascii="Times New Roman" w:hAnsi="Times New Roman"/>
          <w:sz w:val="20"/>
        </w:rPr>
        <w:t xml:space="preserve">” means, at any time of determination, for the Class of Lenders having Class B Exposure, Lenders whose Percentage (calculated in accordance with </w:t>
      </w:r>
      <w:r>
        <w:rPr>
          <w:rFonts w:ascii="Times New Roman" w:hAnsi="Times New Roman"/>
          <w:sz w:val="20"/>
          <w:u w:val="single"/>
        </w:rPr>
        <w:t>clause (b)</w:t>
      </w:r>
      <w:r>
        <w:rPr>
          <w:rFonts w:ascii="Times New Roman" w:hAnsi="Times New Roman"/>
          <w:sz w:val="20"/>
        </w:rPr>
        <w:t xml:space="preserve"> of the definition thereof), aggregate more than 50.0%. </w:t>
      </w:r>
    </w:p>
    <w:p>
      <w:pPr>
        <w:pStyle w:val="TextBody"/>
        <w:bidi w:val="0"/>
        <w:spacing w:before="240" w:after="0"/>
        <w:jc w:val="left"/>
        <w:rPr/>
      </w:pPr>
      <w:r>
        <w:rPr/>
        <w:t>“</w:t>
      </w:r>
      <w:r>
        <w:rPr>
          <w:rFonts w:ascii="Times New Roman" w:hAnsi="Times New Roman"/>
          <w:sz w:val="20"/>
          <w:u w:val="single"/>
        </w:rPr>
        <w:t>Required Lenders</w:t>
      </w:r>
      <w:r>
        <w:rPr>
          <w:rFonts w:ascii="Times New Roman" w:hAnsi="Times New Roman"/>
          <w:sz w:val="20"/>
        </w:rPr>
        <w:t xml:space="preserve">” means (a) until the Class A Exposure has been reduced to zero and all other Borrower Obligations owing to the Class A Lenders have been paid in full in cash, the Required Class A Lenders and (b) thereafter, the Required Class B Lenders. For the avoidance of doubt, the Required Lenders shall have the sole right to suspend or terminate any remedial action that the Required Lenders authorized or directed be commenced. </w:t>
      </w:r>
    </w:p>
    <w:p>
      <w:pPr>
        <w:pStyle w:val="TextBody"/>
        <w:bidi w:val="0"/>
        <w:spacing w:before="240" w:after="0"/>
        <w:jc w:val="left"/>
        <w:rPr/>
      </w:pPr>
      <w:r>
        <w:rPr/>
        <w:t>“</w:t>
      </w:r>
      <w:r>
        <w:rPr>
          <w:rFonts w:ascii="Times New Roman" w:hAnsi="Times New Roman"/>
          <w:sz w:val="20"/>
          <w:u w:val="single"/>
        </w:rPr>
        <w:t>Resignation Effective Date</w:t>
      </w:r>
      <w:r>
        <w:rPr>
          <w:rFonts w:ascii="Times New Roman" w:hAnsi="Times New Roman"/>
          <w:sz w:val="20"/>
        </w:rPr>
        <w:t xml:space="preserve">” has the meaning set forth in </w:t>
      </w:r>
      <w:r>
        <w:rPr>
          <w:rFonts w:ascii="Times New Roman" w:hAnsi="Times New Roman"/>
          <w:sz w:val="20"/>
          <w:u w:val="single"/>
        </w:rPr>
        <w:t>Section 10.06(a)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Resolution Authority</w:t>
      </w:r>
      <w:r>
        <w:rPr>
          <w:rFonts w:ascii="Times New Roman" w:hAnsi="Times New Roman"/>
          <w:sz w:val="20"/>
        </w:rPr>
        <w:t xml:space="preserve">” means an EEA Resolution Authority or, with respect to any UK Financial Institution, a UK Resolution Authority. </w:t>
      </w:r>
    </w:p>
    <w:p>
      <w:pPr>
        <w:pStyle w:val="TextBody"/>
        <w:bidi w:val="0"/>
        <w:spacing w:before="240" w:after="0"/>
        <w:jc w:val="left"/>
        <w:rPr/>
      </w:pPr>
      <w:r>
        <w:rPr/>
        <w:t>“</w:t>
      </w:r>
      <w:r>
        <w:rPr>
          <w:rFonts w:ascii="Times New Roman" w:hAnsi="Times New Roman"/>
          <w:sz w:val="20"/>
          <w:u w:val="single"/>
        </w:rPr>
        <w:t>Restricted Non-U.S. Law Receivables</w:t>
      </w:r>
      <w:r>
        <w:rPr>
          <w:rFonts w:ascii="Times New Roman" w:hAnsi="Times New Roman"/>
          <w:sz w:val="20"/>
        </w:rPr>
        <w:t xml:space="preserve">” means accounts arising under a Contract listed on </w:t>
      </w:r>
      <w:r>
        <w:rPr>
          <w:rFonts w:ascii="Times New Roman" w:hAnsi="Times New Roman"/>
          <w:sz w:val="20"/>
          <w:u w:val="single"/>
        </w:rPr>
        <w:t>Exhibit I</w:t>
      </w:r>
      <w:r>
        <w:rPr>
          <w:rFonts w:ascii="Times New Roman" w:hAnsi="Times New Roman"/>
          <w:sz w:val="20"/>
        </w:rPr>
        <w:t xml:space="preserve"> hereof (</w:t>
      </w:r>
      <w:r>
        <w:rPr>
          <w:rFonts w:ascii="Times New Roman" w:hAnsi="Times New Roman"/>
          <w:color w:val="0000FF"/>
          <w:sz w:val="20"/>
          <w:u w:val="single"/>
          <w:bdr w:val="double" w:sz="2" w:space="1" w:color="000000"/>
        </w:rPr>
        <w:t xml:space="preserve">in the form delivered to the Administrative Agent on or about September 30, 2026 and </w:t>
      </w:r>
      <w:r>
        <w:rPr>
          <w:rFonts w:ascii="Times New Roman" w:hAnsi="Times New Roman"/>
          <w:sz w:val="20"/>
        </w:rPr>
        <w:t xml:space="preserve">as such Exhibit may </w:t>
      </w:r>
      <w:r>
        <w:rPr>
          <w:rFonts w:ascii="Times New Roman" w:hAnsi="Times New Roman"/>
          <w:color w:val="0000FF"/>
          <w:sz w:val="20"/>
          <w:u w:val="single"/>
          <w:bdr w:val="double" w:sz="2" w:space="1" w:color="000000"/>
        </w:rPr>
        <w:t xml:space="preserve">thereafter </w:t>
      </w:r>
      <w:r>
        <w:rPr>
          <w:rFonts w:ascii="Times New Roman" w:hAnsi="Times New Roman"/>
          <w:sz w:val="20"/>
        </w:rPr>
        <w:t xml:space="preserve">be modified from time to time with the consent of the Administrative Agent). </w:t>
      </w:r>
    </w:p>
    <w:p>
      <w:pPr>
        <w:pStyle w:val="TextBody"/>
        <w:bidi w:val="0"/>
        <w:spacing w:before="240" w:after="0"/>
        <w:jc w:val="left"/>
        <w:rPr/>
      </w:pPr>
      <w:r>
        <w:rPr/>
        <w:t>“</w:t>
      </w:r>
      <w:r>
        <w:rPr>
          <w:rFonts w:ascii="Times New Roman" w:hAnsi="Times New Roman"/>
          <w:sz w:val="20"/>
          <w:u w:val="single"/>
        </w:rPr>
        <w:t>Restricted Payments</w:t>
      </w:r>
      <w:r>
        <w:rPr>
          <w:rFonts w:ascii="Times New Roman" w:hAnsi="Times New Roman"/>
          <w:sz w:val="20"/>
        </w:rPr>
        <w:t xml:space="preserve">” has the meaning set forth in </w:t>
      </w:r>
      <w:r>
        <w:rPr>
          <w:rFonts w:ascii="Times New Roman" w:hAnsi="Times New Roman"/>
          <w:sz w:val="20"/>
          <w:u w:val="single"/>
        </w:rPr>
        <w:t>Section 7.01(r)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Returned Goods</w:t>
      </w:r>
      <w:r>
        <w:rPr>
          <w:rFonts w:ascii="Times New Roman" w:hAnsi="Times New Roman"/>
          <w:sz w:val="20"/>
        </w:rPr>
        <w:t xml:space="preserve">” means all right, title and interest in and to returned, repossessed or foreclosed goods and/or merchandise the sale of which gave rise to a Receivable. </w:t>
      </w:r>
    </w:p>
    <w:p>
      <w:pPr>
        <w:pStyle w:val="TextBody"/>
        <w:bidi w:val="0"/>
        <w:spacing w:before="240" w:after="0"/>
        <w:jc w:val="left"/>
        <w:rPr/>
      </w:pPr>
      <w:r>
        <w:rPr/>
        <w:t>“</w:t>
      </w:r>
      <w:r>
        <w:rPr>
          <w:rFonts w:ascii="Times New Roman" w:hAnsi="Times New Roman"/>
          <w:sz w:val="20"/>
          <w:u w:val="single"/>
        </w:rPr>
        <w:t>S&amp;P</w:t>
      </w:r>
      <w:r>
        <w:rPr>
          <w:rFonts w:ascii="Times New Roman" w:hAnsi="Times New Roman"/>
          <w:sz w:val="20"/>
        </w:rPr>
        <w:t xml:space="preserve">” means S&amp;P Global Ratings, a division of S&amp;P Global Inc., and any successor thereto that is a nationally recognized statistical rating organization. </w:t>
      </w:r>
    </w:p>
    <w:p>
      <w:pPr>
        <w:pStyle w:val="TextBody"/>
        <w:bidi w:val="0"/>
        <w:spacing w:before="240" w:after="0"/>
        <w:jc w:val="left"/>
        <w:rPr/>
      </w:pPr>
      <w:r>
        <w:rPr/>
        <w:t>“</w:t>
      </w:r>
      <w:r>
        <w:rPr>
          <w:rFonts w:ascii="Times New Roman" w:hAnsi="Times New Roman"/>
          <w:sz w:val="20"/>
          <w:u w:val="single"/>
        </w:rPr>
        <w:t>Sabre HS Receivable</w:t>
      </w:r>
      <w:r>
        <w:rPr>
          <w:rFonts w:ascii="Times New Roman" w:hAnsi="Times New Roman"/>
          <w:sz w:val="20"/>
        </w:rPr>
        <w:t xml:space="preserve">” means each Receivable owing to Sabre HS Inc. that are serviced by the Servicers, including pursuant to a transition services agreement if Sabre HS Inc. is no longer an Affiliate, all of which the Servicer has assigned (i) a customer group field designation of “SH”, and (ii) a contract account category field marked as “HS”, division field “30”, in Sabre’s customer master record, in each case, based on Sabre’s reporting practices as of the Third Amendment Effective Date. </w:t>
      </w:r>
    </w:p>
    <w:p>
      <w:pPr>
        <w:pStyle w:val="TextBody"/>
        <w:bidi w:val="0"/>
        <w:spacing w:before="240" w:after="0"/>
        <w:jc w:val="left"/>
        <w:rPr/>
      </w:pPr>
      <w:r>
        <w:rPr/>
        <w:t>“</w:t>
      </w:r>
      <w:r>
        <w:rPr>
          <w:rFonts w:ascii="Times New Roman" w:hAnsi="Times New Roman"/>
          <w:sz w:val="20"/>
          <w:u w:val="single"/>
        </w:rPr>
        <w:t>Sale Termination Date</w:t>
      </w:r>
      <w:r>
        <w:rPr>
          <w:rFonts w:ascii="Times New Roman" w:hAnsi="Times New Roman"/>
          <w:sz w:val="20"/>
        </w:rPr>
        <w:t>” means</w:t>
      </w:r>
      <w:r>
        <w:rPr>
          <w:rFonts w:ascii="Times New Roman" w:hAnsi="Times New Roman"/>
          <w:color w:val="0000FF"/>
          <w:sz w:val="20"/>
          <w:u w:val="single"/>
          <w:bdr w:val="double" w:sz="2" w:space="1" w:color="000000"/>
        </w:rPr>
        <w:t>: (a)</w:t>
      </w:r>
      <w:r>
        <w:rPr>
          <w:rFonts w:ascii="Times New Roman" w:hAnsi="Times New Roman"/>
          <w:sz w:val="20"/>
        </w:rPr>
        <w:t> the “</w:t>
      </w:r>
      <w:r>
        <w:rPr>
          <w:rFonts w:ascii="Times New Roman" w:hAnsi="Times New Roman"/>
          <w:sz w:val="20"/>
          <w:u w:val="single"/>
        </w:rPr>
        <w:t>Sale and Contribution Termination Date</w:t>
      </w:r>
      <w:r>
        <w:rPr>
          <w:rFonts w:ascii="Times New Roman" w:hAnsi="Times New Roman"/>
          <w:sz w:val="20"/>
        </w:rPr>
        <w:t xml:space="preserve">” </w:t>
      </w:r>
      <w:r>
        <w:rPr>
          <w:rFonts w:ascii="Times New Roman" w:hAnsi="Times New Roman"/>
          <w:strike/>
          <w:color w:val="008000"/>
          <w:sz w:val="20"/>
        </w:rPr>
        <w:t xml:space="preserve">or the </w:t>
      </w:r>
      <w:r>
        <w:rPr>
          <w:rFonts w:ascii="Times New Roman" w:hAnsi="Times New Roman"/>
          <w:strike/>
          <w:color w:val="008000"/>
          <w:sz w:val="20"/>
          <w:u w:val="single"/>
        </w:rPr>
        <w:t>“Sale Termination Date”</w:t>
      </w:r>
      <w:r>
        <w:rPr>
          <w:rFonts w:ascii="Times New Roman" w:hAnsi="Times New Roman"/>
          <w:sz w:val="20"/>
        </w:rPr>
        <w:t xml:space="preserve"> as defined in the U.S. Sale and Contribution Agreement or </w:t>
      </w:r>
      <w:r>
        <w:rPr>
          <w:rFonts w:ascii="Times New Roman" w:hAnsi="Times New Roman"/>
          <w:color w:val="0000FF"/>
          <w:sz w:val="20"/>
          <w:u w:val="single"/>
          <w:bdr w:val="double" w:sz="2" w:space="1" w:color="000000"/>
        </w:rPr>
        <w:t xml:space="preserve">(b) the “Sale Termination Date” as defined in either of the </w:t>
      </w:r>
      <w:r>
        <w:rPr>
          <w:rFonts w:ascii="Times New Roman" w:hAnsi="Times New Roman"/>
          <w:sz w:val="20"/>
        </w:rPr>
        <w:t>UK Sale Agreement</w:t>
      </w:r>
      <w:r>
        <w:rPr>
          <w:rFonts w:ascii="Times New Roman" w:hAnsi="Times New Roman"/>
          <w:strike/>
          <w:color w:val="FF0000"/>
          <w:sz w:val="20"/>
        </w:rPr>
        <w:t>, respectively</w:t>
      </w:r>
      <w:r>
        <w:rPr>
          <w:rFonts w:ascii="Times New Roman" w:hAnsi="Times New Roman"/>
          <w:color w:val="0000FF"/>
          <w:sz w:val="20"/>
          <w:u w:val="single"/>
          <w:bdr w:val="double" w:sz="2" w:space="1" w:color="000000"/>
        </w:rPr>
        <w:t xml:space="preserve"> or SG Sale Agreement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Sanctioned Jurisdiction</w:t>
      </w:r>
      <w:r>
        <w:rPr>
          <w:rFonts w:ascii="Times New Roman" w:hAnsi="Times New Roman"/>
          <w:sz w:val="20"/>
        </w:rPr>
        <w:t xml:space="preserve">” means any country, territory, or region that is the subject of comprehensive sanctions administered by OFAC broadly prohibiting dealings with such country, territory, or region (at the time of the Effective Date, the so-called Donetsk People’s Republic, so-called Luhansk People’s Republic, and Crimea regions of Ukraine, Cuba, Iran, North Korea and Syria).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Sanctioned Person</w:t>
      </w:r>
      <w:r>
        <w:rPr>
          <w:rFonts w:ascii="Times New Roman" w:hAnsi="Times New Roman"/>
          <w:sz w:val="20"/>
        </w:rPr>
        <w:t>” means (a) a Person that is the subject of sanctions administered by OFAC or the U.S. Department of State, including by virtue of being (i) named on OFAC’s list of “Specially Designated Nationals and Blocked Persons”; (ii) organized under the Laws of, ordinarily resident in, or physically located in a Sanctioned Jurisdiction; (iii) owned or controlled 50% or more in the aggregate, by one or more Persons that are the subject of sanctions administered by OFAC; (b) a Person that is the subject of sanctions maintained by the European Union (“</w:t>
      </w:r>
      <w:r>
        <w:rPr>
          <w:rFonts w:ascii="Times New Roman" w:hAnsi="Times New Roman"/>
          <w:sz w:val="20"/>
          <w:u w:val="single"/>
        </w:rPr>
        <w:t>E.U</w:t>
      </w:r>
      <w:r>
        <w:rPr>
          <w:rFonts w:ascii="Times New Roman" w:hAnsi="Times New Roman"/>
          <w:sz w:val="20"/>
        </w:rPr>
        <w:t>.”), including by virtue of being named on the E.U.’s “Consolidated list of persons, groups and entities subject to E.U. financial sanctions” or other, similar lists; (c) a Person that is the subject of sanctions maintained by the United Kingdom (“</w:t>
      </w:r>
      <w:r>
        <w:rPr>
          <w:rFonts w:ascii="Times New Roman" w:hAnsi="Times New Roman"/>
          <w:sz w:val="20"/>
          <w:u w:val="single"/>
        </w:rPr>
        <w:t>U.K</w:t>
      </w:r>
      <w:r>
        <w:rPr>
          <w:rFonts w:ascii="Times New Roman" w:hAnsi="Times New Roman"/>
          <w:sz w:val="20"/>
        </w:rPr>
        <w:t>.”), including by virtue of being named on the “Consolidated List Of Financial Sanctions Targets in the U.K.” or other, similar lists</w:t>
      </w:r>
      <w:r>
        <w:rPr>
          <w:rFonts w:ascii="Times New Roman" w:hAnsi="Times New Roman"/>
          <w:color w:val="0000FF"/>
          <w:sz w:val="20"/>
          <w:u w:val="single"/>
          <w:bdr w:val="double" w:sz="2" w:space="1" w:color="000000"/>
        </w:rPr>
        <w:t>; and (d) a Person that is the subject of sanctions maintained by the government of Singapore</w:t>
      </w:r>
      <w:r>
        <w:rPr>
          <w:rFonts w:ascii="Times New Roman" w:hAnsi="Times New Roman"/>
          <w:sz w:val="20"/>
        </w:rPr>
        <w:t xml:space="preserve"> (the Anti-Terrorism Laws of such Official Bodies, collectively, “</w:t>
      </w:r>
      <w:r>
        <w:rPr>
          <w:rFonts w:ascii="Times New Roman" w:hAnsi="Times New Roman"/>
          <w:sz w:val="20"/>
          <w:u w:val="single"/>
        </w:rPr>
        <w:t>Sanctions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Scheduled Termination Date</w:t>
      </w:r>
      <w:r>
        <w:rPr>
          <w:rFonts w:ascii="Times New Roman" w:hAnsi="Times New Roman"/>
          <w:sz w:val="20"/>
        </w:rPr>
        <w:t xml:space="preserve">” means </w:t>
      </w:r>
      <w:r>
        <w:rPr>
          <w:rFonts w:ascii="Times New Roman" w:hAnsi="Times New Roman"/>
          <w:strike/>
          <w:color w:val="FF0000"/>
          <w:sz w:val="20"/>
        </w:rPr>
        <w:t>March  29</w:t>
      </w:r>
      <w:r>
        <w:rPr>
          <w:rFonts w:ascii="Times New Roman" w:hAnsi="Times New Roman"/>
          <w:color w:val="0000FF"/>
          <w:sz w:val="20"/>
          <w:u w:val="single"/>
          <w:bdr w:val="double" w:sz="2" w:space="1" w:color="000000"/>
        </w:rPr>
        <w:t>September 28</w:t>
      </w:r>
      <w:r>
        <w:rPr>
          <w:rFonts w:ascii="Times New Roman" w:hAnsi="Times New Roman"/>
          <w:sz w:val="20"/>
        </w:rPr>
        <w:t xml:space="preserve">, </w:t>
      </w:r>
      <w:r>
        <w:rPr>
          <w:rFonts w:ascii="Times New Roman" w:hAnsi="Times New Roman"/>
          <w:strike/>
          <w:color w:val="FF0000"/>
          <w:sz w:val="20"/>
        </w:rPr>
        <w:t>2027</w:t>
      </w:r>
      <w:r>
        <w:rPr>
          <w:rFonts w:ascii="Times New Roman" w:hAnsi="Times New Roman"/>
          <w:color w:val="0000FF"/>
          <w:sz w:val="20"/>
          <w:u w:val="single"/>
          <w:bdr w:val="double" w:sz="2" w:space="1" w:color="000000"/>
        </w:rPr>
        <w:t>2029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U.S. Securities and Exchange Commission or any governmental agencies substituted therefor. </w:t>
      </w:r>
    </w:p>
    <w:p>
      <w:pPr>
        <w:pStyle w:val="TextBody"/>
        <w:bidi w:val="0"/>
        <w:spacing w:before="240" w:after="0"/>
        <w:jc w:val="left"/>
        <w:rPr/>
      </w:pPr>
      <w:r>
        <w:rPr/>
        <w:t>“</w:t>
      </w:r>
      <w:r>
        <w:rPr>
          <w:rFonts w:ascii="Times New Roman" w:hAnsi="Times New Roman"/>
          <w:sz w:val="20"/>
          <w:u w:val="single"/>
        </w:rPr>
        <w:t>Second Amendment Effective Date</w:t>
      </w:r>
      <w:r>
        <w:rPr>
          <w:rFonts w:ascii="Times New Roman" w:hAnsi="Times New Roman"/>
          <w:sz w:val="20"/>
        </w:rPr>
        <w:t xml:space="preserve">” means July 18, 2024. </w:t>
      </w:r>
    </w:p>
    <w:p>
      <w:pPr>
        <w:pStyle w:val="TextBody"/>
        <w:bidi w:val="0"/>
        <w:spacing w:before="240" w:after="0"/>
        <w:jc w:val="left"/>
        <w:rPr/>
      </w:pPr>
      <w:r>
        <w:rPr/>
        <w:t>“</w:t>
      </w:r>
      <w:r>
        <w:rPr>
          <w:rFonts w:ascii="Times New Roman" w:hAnsi="Times New Roman"/>
          <w:sz w:val="20"/>
          <w:u w:val="single"/>
        </w:rPr>
        <w:t>Secured Parties</w:t>
      </w:r>
      <w:r>
        <w:rPr>
          <w:rFonts w:ascii="Times New Roman" w:hAnsi="Times New Roman"/>
          <w:sz w:val="20"/>
        </w:rPr>
        <w:t xml:space="preserve">” means each Credit Party and each Borrower Indemnified Party.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Securities Act of 1933. </w:t>
      </w:r>
    </w:p>
    <w:p>
      <w:pPr>
        <w:pStyle w:val="TextBody"/>
        <w:bidi w:val="0"/>
        <w:spacing w:before="240" w:after="0"/>
        <w:jc w:val="left"/>
        <w:rPr/>
      </w:pPr>
      <w:r>
        <w:rPr/>
        <w:t>“</w:t>
      </w:r>
      <w:r>
        <w:rPr>
          <w:rFonts w:ascii="Times New Roman" w:hAnsi="Times New Roman"/>
          <w:sz w:val="20"/>
          <w:u w:val="single"/>
        </w:rPr>
        <w:t>Servicer</w:t>
      </w:r>
      <w:r>
        <w:rPr>
          <w:rFonts w:ascii="Times New Roman" w:hAnsi="Times New Roman"/>
          <w:sz w:val="20"/>
        </w:rPr>
        <w:t xml:space="preserve">” means the Person(s) acting as Servicer pursuant to </w:t>
      </w:r>
      <w:r>
        <w:rPr>
          <w:rFonts w:ascii="Times New Roman" w:hAnsi="Times New Roman"/>
          <w:sz w:val="20"/>
          <w:u w:val="single"/>
        </w:rPr>
        <w:t>Section 8.01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Servicer Indemnified Amounts</w:t>
      </w:r>
      <w:r>
        <w:rPr>
          <w:rFonts w:ascii="Times New Roman" w:hAnsi="Times New Roman"/>
          <w:sz w:val="20"/>
        </w:rPr>
        <w:t xml:space="preserve">” has the meaning set forth in </w:t>
      </w:r>
      <w:r>
        <w:rPr>
          <w:rFonts w:ascii="Times New Roman" w:hAnsi="Times New Roman"/>
          <w:sz w:val="20"/>
          <w:u w:val="single"/>
        </w:rPr>
        <w:t>Section 11.03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Servicer Indemnified Party</w:t>
      </w:r>
      <w:r>
        <w:rPr>
          <w:rFonts w:ascii="Times New Roman" w:hAnsi="Times New Roman"/>
          <w:sz w:val="20"/>
        </w:rPr>
        <w:t xml:space="preserve">” has the meaning set forth in </w:t>
      </w:r>
      <w:r>
        <w:rPr>
          <w:rFonts w:ascii="Times New Roman" w:hAnsi="Times New Roman"/>
          <w:sz w:val="20"/>
          <w:u w:val="single"/>
        </w:rPr>
        <w:t>Section 11.03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Servicing Fee</w:t>
      </w:r>
      <w:r>
        <w:rPr>
          <w:rFonts w:ascii="Times New Roman" w:hAnsi="Times New Roman"/>
          <w:sz w:val="20"/>
        </w:rPr>
        <w:t xml:space="preserve">” means the fee referred to in </w:t>
      </w:r>
      <w:r>
        <w:rPr>
          <w:rFonts w:ascii="Times New Roman" w:hAnsi="Times New Roman"/>
          <w:sz w:val="20"/>
          <w:u w:val="single"/>
        </w:rPr>
        <w:t>Section 8.06(a)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Servicing Fee Rate</w:t>
      </w:r>
      <w:r>
        <w:rPr>
          <w:rFonts w:ascii="Times New Roman" w:hAnsi="Times New Roman"/>
          <w:sz w:val="20"/>
        </w:rPr>
        <w:t xml:space="preserve">” means the rate set forth on Exhibit J, which Servicing Fee Rate may be modified from time to time by the Borrower and the Servicers so long as (i) such fee is an arm’s length fee for the servicing of the Receivables hereunder, (ii) if such rate exceeds 1.0%, the Administrative Agent and Required Lenders shall have expressly approved such rate in writing prior to its taking effect and (iii) the Borrower shall have delivered a supplemental Exhibit J (which shall thereafter replace Exhibit J). </w:t>
      </w:r>
    </w:p>
    <w:p>
      <w:pPr>
        <w:pStyle w:val="TextBody"/>
        <w:bidi w:val="0"/>
        <w:spacing w:before="240" w:after="0"/>
        <w:jc w:val="left"/>
        <w:rPr/>
      </w:pPr>
      <w:r>
        <w:rPr/>
        <w:t>“</w:t>
      </w:r>
      <w:r>
        <w:rPr>
          <w:rFonts w:ascii="Times New Roman" w:hAnsi="Times New Roman"/>
          <w:sz w:val="20"/>
          <w:u w:val="single"/>
        </w:rPr>
        <w:t>Settlement Account</w:t>
      </w:r>
      <w:r>
        <w:rPr>
          <w:rFonts w:ascii="Times New Roman" w:hAnsi="Times New Roman"/>
          <w:sz w:val="20"/>
        </w:rPr>
        <w:t xml:space="preserve">” means the deposit or trust account established with the Settlement Agent in accordance with the applicable Clearing House Rules to receive collections on receivables (including the Pool Receivables) settled through such Clearing House.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Settlement Agent</w:t>
      </w:r>
      <w:r>
        <w:rPr>
          <w:rFonts w:ascii="Times New Roman" w:hAnsi="Times New Roman"/>
          <w:sz w:val="20"/>
        </w:rPr>
        <w:t xml:space="preserve">” means U.S. Bank National Association or any successor designated by the applicable Clearing House in accordance with the applicable Clearing House Rules to maintain Settlement Accounts. </w:t>
      </w:r>
    </w:p>
    <w:p>
      <w:pPr>
        <w:pStyle w:val="TextBody"/>
        <w:bidi w:val="0"/>
        <w:spacing w:before="240" w:after="0"/>
        <w:jc w:val="left"/>
        <w:rPr/>
      </w:pPr>
      <w:r>
        <w:rPr/>
        <w:t>“</w:t>
      </w:r>
      <w:r>
        <w:rPr>
          <w:rFonts w:ascii="Times New Roman" w:hAnsi="Times New Roman"/>
          <w:sz w:val="20"/>
          <w:u w:val="single"/>
        </w:rPr>
        <w:t>Settlement Date</w:t>
      </w:r>
      <w:r>
        <w:rPr>
          <w:rFonts w:ascii="Times New Roman" w:hAnsi="Times New Roman"/>
          <w:sz w:val="20"/>
        </w:rPr>
        <w:t xml:space="preserve">” means with respect to any Loan or Principal thereof for any Interest Period or any Interest or Fees, (i) so long as no Event of Default or Financial Covenant Event has occurred and is continuing and the Termination Date has not occurred, the Monthly Settlement Date and (ii) on and after the Termination Date or if an Event of Default or Financial Covenant Event has occurred and is continuing, each day selected from time to time by the Administrative Agent (it being understood that the Administrative Agent may select such Settlement Date to occur as frequently as daily), or, in the absence of such selection, the Monthly Settlement Date.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SG Obligor” means an Obligor that is a company or other business organization and is incorporated in Singapore.</w:t>
      </w:r>
      <w:r>
        <w:rPr>
          <w:rFonts w:ascii="Times New Roman" w:hAnsi="Times New Roman"/>
          <w:sz w:val="20"/>
        </w:rPr>
        <w:t xml:space="preserve"> </w:t>
      </w:r>
    </w:p>
    <w:p>
      <w:pPr>
        <w:pStyle w:val="TextBody"/>
        <w:bidi w:val="0"/>
        <w:spacing w:before="240" w:after="0"/>
        <w:jc w:val="left"/>
        <w:rPr>
          <w:color w:val="0000FF"/>
          <w:u w:val="single"/>
          <w:bdr w:val="double" w:sz="2" w:space="1" w:color="000000"/>
        </w:rPr>
      </w:pPr>
      <w:r>
        <w:rPr>
          <w:color w:val="0000FF"/>
          <w:u w:val="single"/>
          <w:bdr w:val="double" w:sz="2" w:space="1" w:color="000000"/>
        </w:rPr>
        <w:t>“</w:t>
      </w:r>
      <w:r>
        <w:rPr>
          <w:rFonts w:ascii="Times New Roman" w:hAnsi="Times New Roman"/>
          <w:color w:val="0000FF"/>
          <w:sz w:val="20"/>
          <w:u w:val="single"/>
          <w:bdr w:val="double" w:sz="2" w:space="1" w:color="000000"/>
        </w:rPr>
        <w:t xml:space="preserve">SG Originator” means any Person incorporated in Singapore from time to time a party to the SG Sale Agreement as an “Originator” thereunder.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SG Power of Attorney” means (i) a Singapore law power of attorney, dated on or about September 30, 2026, between the Borrower and the Administrative Agent and (ii) a Singapore law power of attorney, dated on or about September 30, 2026, between the SG Originator and the Borrower.</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SG Receivables” means Receivables acquired pursuant to the SG Sale Agreement.</w:t>
      </w:r>
      <w:r>
        <w:rPr>
          <w:rFonts w:ascii="Times New Roman" w:hAnsi="Times New Roman"/>
          <w:sz w:val="20"/>
        </w:rPr>
        <w:t xml:space="preserve"> </w:t>
      </w:r>
    </w:p>
    <w:p>
      <w:pPr>
        <w:pStyle w:val="TextBody"/>
        <w:bidi w:val="0"/>
        <w:spacing w:before="240" w:after="0"/>
        <w:jc w:val="left"/>
        <w:rPr>
          <w:color w:val="0000FF"/>
          <w:u w:val="single"/>
          <w:bdr w:val="double" w:sz="2" w:space="1" w:color="000000"/>
        </w:rPr>
      </w:pPr>
      <w:r>
        <w:rPr>
          <w:color w:val="0000FF"/>
          <w:u w:val="single"/>
          <w:bdr w:val="double" w:sz="2" w:space="1" w:color="000000"/>
        </w:rPr>
        <w:t>“</w:t>
      </w:r>
      <w:r>
        <w:rPr>
          <w:rFonts w:ascii="Times New Roman" w:hAnsi="Times New Roman"/>
          <w:color w:val="0000FF"/>
          <w:sz w:val="20"/>
          <w:u w:val="single"/>
          <w:bdr w:val="double" w:sz="2" w:space="1" w:color="000000"/>
        </w:rPr>
        <w:t xml:space="preserve">SG Sale Agreement” means the Singapore law Sale Agreement, dated on or about September 30, 2026, among the SG Servicer, the SG Originators and the Borrower.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SG Security Agreement” means the Singapore law Security Agreement, dated on or about September 30, 2026, between the Borrower, as chargor, and the Administrative Agent.</w:t>
      </w:r>
      <w:r>
        <w:rPr>
          <w:rFonts w:ascii="Times New Roman" w:hAnsi="Times New Roman"/>
          <w:sz w:val="20"/>
        </w:rPr>
        <w:t xml:space="preserve"> </w:t>
      </w:r>
    </w:p>
    <w:p>
      <w:pPr>
        <w:pStyle w:val="TextBody"/>
        <w:bidi w:val="0"/>
        <w:spacing w:before="240" w:after="0"/>
        <w:jc w:val="left"/>
        <w:rPr>
          <w:color w:val="0000FF"/>
          <w:u w:val="single"/>
          <w:bdr w:val="double" w:sz="2" w:space="1" w:color="000000"/>
        </w:rPr>
      </w:pPr>
      <w:r>
        <w:rPr>
          <w:color w:val="0000FF"/>
          <w:u w:val="single"/>
          <w:bdr w:val="double" w:sz="2" w:space="1" w:color="000000"/>
        </w:rPr>
        <w:t>“</w:t>
      </w:r>
      <w:r>
        <w:rPr>
          <w:rFonts w:ascii="Times New Roman" w:hAnsi="Times New Roman"/>
          <w:color w:val="0000FF"/>
          <w:sz w:val="20"/>
          <w:u w:val="single"/>
          <w:bdr w:val="double" w:sz="2" w:space="1" w:color="000000"/>
        </w:rPr>
        <w:t xml:space="preserve">SG Servicer” has the meaning set forth in the preamble.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Singapore” means the Republic of Singapore.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SOFR</w:t>
      </w:r>
      <w:r>
        <w:rPr>
          <w:rFonts w:ascii="Times New Roman" w:hAnsi="Times New Roman"/>
          <w:sz w:val="20"/>
        </w:rPr>
        <w:t xml:space="preserve">” means, for any day, a rate equal to the secured overnight financing rate as administered by the Federal Reserve Bank of New York (or a successor administrator of the secured overnight financing rate). </w:t>
      </w:r>
    </w:p>
    <w:p>
      <w:pPr>
        <w:pStyle w:val="TextBody"/>
        <w:bidi w:val="0"/>
        <w:spacing w:before="240" w:after="0"/>
        <w:jc w:val="left"/>
        <w:rPr/>
      </w:pPr>
      <w:r>
        <w:rPr/>
        <w:t>“</w:t>
      </w:r>
      <w:r>
        <w:rPr>
          <w:rFonts w:ascii="Times New Roman" w:hAnsi="Times New Roman"/>
          <w:sz w:val="20"/>
          <w:u w:val="single"/>
        </w:rPr>
        <w:t>SOFR Adjustment</w:t>
      </w:r>
      <w:r>
        <w:rPr>
          <w:rFonts w:ascii="Times New Roman" w:hAnsi="Times New Roman"/>
          <w:sz w:val="20"/>
        </w:rPr>
        <w:t xml:space="preserve">” means ten basis points (0.10%). </w:t>
      </w:r>
    </w:p>
    <w:p>
      <w:pPr>
        <w:pStyle w:val="TextBody"/>
        <w:bidi w:val="0"/>
        <w:spacing w:before="240" w:after="0"/>
        <w:jc w:val="left"/>
        <w:rPr/>
      </w:pPr>
      <w:r>
        <w:rPr/>
        <w:t>“</w:t>
      </w:r>
      <w:r>
        <w:rPr>
          <w:rFonts w:ascii="Times New Roman" w:hAnsi="Times New Roman"/>
          <w:sz w:val="20"/>
          <w:u w:val="single"/>
        </w:rPr>
        <w:t>SOFR Floor</w:t>
      </w:r>
      <w:r>
        <w:rPr>
          <w:rFonts w:ascii="Times New Roman" w:hAnsi="Times New Roman"/>
          <w:sz w:val="20"/>
        </w:rPr>
        <w:t xml:space="preserve">” means a rate of interest per annum equal to zero basis points (0.00%). </w:t>
      </w:r>
    </w:p>
    <w:p>
      <w:pPr>
        <w:pStyle w:val="TextBody"/>
        <w:bidi w:val="0"/>
        <w:spacing w:before="240" w:after="0"/>
        <w:jc w:val="left"/>
        <w:rPr/>
      </w:pPr>
      <w:r>
        <w:rPr/>
        <w:t>“</w:t>
      </w:r>
      <w:r>
        <w:rPr>
          <w:rFonts w:ascii="Times New Roman" w:hAnsi="Times New Roman"/>
          <w:sz w:val="20"/>
          <w:u w:val="single"/>
        </w:rPr>
        <w:t>SOFR Reserve Percentage</w:t>
      </w:r>
      <w:r>
        <w:rPr>
          <w:rFonts w:ascii="Times New Roman" w:hAnsi="Times New Roman"/>
          <w:sz w:val="20"/>
        </w:rPr>
        <w:t xml:space="preserve">” means, for any day, the maximum effective percentage in effect on such day, if any, as prescribed by the Board of Governors of the Federal Reserve System (or any successor) for determining the reserve requirements (including, without limitation, supplemental, marginal and emergency reserve requirements) with respect to SOFR funding.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Solvent</w:t>
      </w:r>
      <w:r>
        <w:rPr>
          <w:rFonts w:ascii="Times New Roman" w:hAnsi="Times New Roman"/>
          <w:sz w:val="20"/>
        </w:rPr>
        <w:t xml:space="preserve">” means, with respect to any Person on any date of determination, taking into account any right of reimbursement, contribution or similar right available to such Person from other Persons, that on such date (a) the fair value of the property of such Person is greater than the total amount of liabilities, including contingent liabilities, of such Person, (b) the present fair market value (or present fair saleable value) of the assets of such Person is not less than the amount that will be required to pay the probable liability of such Person on its debts as they become absolute and matured, (c) such Person is able to realize upon its assets and pay its debts and other liabilities, contingent obligations and other commitments as they mature in the normal course of business, (d) such Person does not intend to, and does not believe that it will, incur debts or liabilities beyond such Person’s ability to pay as such debts and liabilities mature, and (e) such Person is not engaged in business or a transaction, and is not about to engage in business or a transaction, for which such Person’s property would constitute unreasonably small capital after giving due consideration to the prevailing practice in the industry in which such Person is engaged. In computing the amount of contingent liabilities at any time, it is intended that such liabilities will be computed at the amount which, in light of all the facts and circumstances existing at such time, represents the amount that is reasonably expected to become an actual or matured liability. </w:t>
      </w:r>
    </w:p>
    <w:p>
      <w:pPr>
        <w:pStyle w:val="TextBody"/>
        <w:bidi w:val="0"/>
        <w:spacing w:before="240" w:after="0"/>
        <w:jc w:val="left"/>
        <w:rPr/>
      </w:pPr>
      <w:r>
        <w:rPr/>
        <w:t>“</w:t>
      </w:r>
      <w:r>
        <w:rPr>
          <w:rFonts w:ascii="Times New Roman" w:hAnsi="Times New Roman"/>
          <w:sz w:val="20"/>
          <w:u w:val="single"/>
        </w:rPr>
        <w:t>Statements</w:t>
      </w:r>
      <w:r>
        <w:rPr>
          <w:rFonts w:ascii="Times New Roman" w:hAnsi="Times New Roman"/>
          <w:sz w:val="20"/>
        </w:rPr>
        <w:t xml:space="preserve">” has the meaning set forth in </w:t>
      </w:r>
      <w:r>
        <w:rPr>
          <w:rFonts w:ascii="Times New Roman" w:hAnsi="Times New Roman"/>
          <w:sz w:val="20"/>
          <w:u w:val="single"/>
        </w:rPr>
        <w:t>Section 6.01(dd)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Sterling</w:t>
      </w:r>
      <w:r>
        <w:rPr>
          <w:rFonts w:ascii="Times New Roman" w:hAnsi="Times New Roman"/>
          <w:sz w:val="20"/>
        </w:rPr>
        <w:t>”, “</w:t>
      </w:r>
      <w:r>
        <w:rPr>
          <w:rFonts w:ascii="Times New Roman" w:hAnsi="Times New Roman"/>
          <w:sz w:val="20"/>
          <w:u w:val="single"/>
        </w:rPr>
        <w:t>GBP</w:t>
      </w:r>
      <w:r>
        <w:rPr>
          <w:rFonts w:ascii="Times New Roman" w:hAnsi="Times New Roman"/>
          <w:sz w:val="20"/>
        </w:rPr>
        <w:t>” or “</w:t>
      </w:r>
      <w:r>
        <w:rPr>
          <w:rFonts w:ascii="Times New Roman" w:hAnsi="Times New Roman"/>
          <w:sz w:val="20"/>
          <w:u w:val="single"/>
        </w:rPr>
        <w:t>£</w:t>
      </w:r>
      <w:r>
        <w:rPr>
          <w:rFonts w:ascii="Times New Roman" w:hAnsi="Times New Roman"/>
          <w:sz w:val="20"/>
        </w:rPr>
        <w:t xml:space="preserve">” mean the lawful currency of the United Kingdom. </w:t>
      </w:r>
    </w:p>
    <w:p>
      <w:pPr>
        <w:pStyle w:val="TextBody"/>
        <w:bidi w:val="0"/>
        <w:spacing w:before="240" w:after="0"/>
        <w:jc w:val="left"/>
        <w:rPr/>
      </w:pPr>
      <w:r>
        <w:rPr/>
        <w:t>“</w:t>
      </w:r>
      <w:r>
        <w:rPr>
          <w:rFonts w:ascii="Times New Roman" w:hAnsi="Times New Roman"/>
          <w:sz w:val="20"/>
          <w:u w:val="single"/>
        </w:rPr>
        <w:t>Structuring Agent</w:t>
      </w:r>
      <w:r>
        <w:rPr>
          <w:rFonts w:ascii="Times New Roman" w:hAnsi="Times New Roman"/>
          <w:sz w:val="20"/>
        </w:rPr>
        <w:t xml:space="preserve">” means PNC Capital Markets LLC, a Pennsylvania limited liability company. </w:t>
      </w:r>
    </w:p>
    <w:p>
      <w:pPr>
        <w:pStyle w:val="TextBody"/>
        <w:bidi w:val="0"/>
        <w:spacing w:before="240" w:after="0"/>
        <w:jc w:val="left"/>
        <w:rPr/>
      </w:pPr>
      <w:r>
        <w:rPr/>
        <w:t>“</w:t>
      </w:r>
      <w:r>
        <w:rPr>
          <w:rFonts w:ascii="Times New Roman" w:hAnsi="Times New Roman"/>
          <w:sz w:val="20"/>
          <w:u w:val="single"/>
        </w:rPr>
        <w:t>Sub-Servicer</w:t>
      </w:r>
      <w:r>
        <w:rPr>
          <w:rFonts w:ascii="Times New Roman" w:hAnsi="Times New Roman"/>
          <w:sz w:val="20"/>
        </w:rPr>
        <w:t xml:space="preserve">” has the meaning set forth in </w:t>
      </w:r>
      <w:r>
        <w:rPr>
          <w:rFonts w:ascii="Times New Roman" w:hAnsi="Times New Roman"/>
          <w:sz w:val="20"/>
          <w:u w:val="single"/>
        </w:rPr>
        <w:t>Section 8.01(d)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Subordinated Loan</w:t>
      </w:r>
      <w:r>
        <w:rPr>
          <w:rFonts w:ascii="Times New Roman" w:hAnsi="Times New Roman"/>
          <w:sz w:val="20"/>
        </w:rPr>
        <w:t xml:space="preserve">” has the meaning set forth in the applicable Transfer Agreement. </w:t>
      </w:r>
    </w:p>
    <w:p>
      <w:pPr>
        <w:pStyle w:val="TextBody"/>
        <w:bidi w:val="0"/>
        <w:spacing w:before="240" w:after="0"/>
        <w:jc w:val="left"/>
        <w:rPr/>
      </w:pPr>
      <w:r>
        <w:rPr/>
        <w:t>“</w:t>
      </w:r>
      <w:r>
        <w:rPr>
          <w:rFonts w:ascii="Times New Roman" w:hAnsi="Times New Roman"/>
          <w:sz w:val="20"/>
          <w:u w:val="single"/>
        </w:rPr>
        <w:t>Subordinated Loan Agreement</w:t>
      </w:r>
      <w:r>
        <w:rPr>
          <w:rFonts w:ascii="Times New Roman" w:hAnsi="Times New Roman"/>
          <w:sz w:val="20"/>
        </w:rPr>
        <w:t xml:space="preserve">” has the meaning set forth in the applicable Transfer Agreement. </w:t>
      </w:r>
    </w:p>
    <w:p>
      <w:pPr>
        <w:pStyle w:val="TextBody"/>
        <w:bidi w:val="0"/>
        <w:spacing w:before="240" w:after="0"/>
        <w:jc w:val="left"/>
        <w:rPr/>
      </w:pPr>
      <w:r>
        <w:rPr/>
        <w:t>“</w:t>
      </w:r>
      <w:r>
        <w:rPr>
          <w:rFonts w:ascii="Times New Roman" w:hAnsi="Times New Roman"/>
          <w:sz w:val="20"/>
          <w:u w:val="single"/>
        </w:rPr>
        <w:t>Subscriber Receivable</w:t>
      </w:r>
      <w:r>
        <w:rPr>
          <w:rFonts w:ascii="Times New Roman" w:hAnsi="Times New Roman"/>
          <w:sz w:val="20"/>
        </w:rPr>
        <w:t xml:space="preserve">” means each Receivable relating to an Obligor involved with travel marketing and distribution including travel agencies, on-line providers, suppliers, and software development organizations, all of which the Servicer has assigned a customer identification number that begins with the letter “X” in Sabre’s reporting system, in each case, based on Sabre’s reporting practices as of the Closing Date.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as to any Person, any corporation, trust, partnership, limited liability company or other business entity (a) of which more than 50% of the outstanding voting securities or other interests normally entitled to vote for the election of one or more directors or trustees (regardless of any contingency which does or may suspend or dilute the voting rights) is at such time owned directly or indirectly by such Person or one or more of such Person’s Subsidiaries, or (b) which is Controlled or capable of being Controlled by such Person or one or more of such Person’s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Swap Contract</w:t>
      </w:r>
      <w:r>
        <w:rPr>
          <w:rFonts w:ascii="Times New Roman" w:hAnsi="Times New Roman"/>
          <w:sz w:val="20"/>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hAnsi="Times New Roman"/>
          <w:b/>
          <w:sz w:val="20"/>
        </w:rPr>
        <w:t>Master Agreement</w:t>
      </w:r>
      <w:r>
        <w:rPr>
          <w:rFonts w:ascii="Times New Roman" w:hAnsi="Times New Roman"/>
          <w:sz w:val="20"/>
        </w:rPr>
        <w:t xml:space="preserve">”), including any such obligations or liabilities under any Master Agreement. </w:t>
      </w:r>
    </w:p>
    <w:p>
      <w:pPr>
        <w:pStyle w:val="TextBody"/>
        <w:bidi w:val="0"/>
        <w:spacing w:before="240" w:after="0"/>
        <w:jc w:val="left"/>
        <w:rPr/>
      </w:pPr>
      <w:r>
        <w:rPr/>
        <w:t>“</w:t>
      </w:r>
      <w:r>
        <w:rPr>
          <w:rFonts w:ascii="Times New Roman" w:hAnsi="Times New Roman"/>
          <w:sz w:val="20"/>
          <w:u w:val="single"/>
        </w:rPr>
        <w:t>Swap Termination Value</w:t>
      </w:r>
      <w:r>
        <w:rPr>
          <w:rFonts w:ascii="Times New Roman" w:hAnsi="Times New Roman"/>
          <w:sz w:val="20"/>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 </w:t>
      </w:r>
    </w:p>
    <w:p>
      <w:pPr>
        <w:pStyle w:val="TextBody"/>
        <w:bidi w:val="0"/>
        <w:spacing w:before="240" w:after="0"/>
        <w:jc w:val="left"/>
        <w:rPr/>
      </w:pPr>
      <w:r>
        <w:rPr/>
        <w:t>“</w:t>
      </w:r>
      <w:r>
        <w:rPr>
          <w:rFonts w:ascii="Times New Roman" w:hAnsi="Times New Roman"/>
          <w:sz w:val="20"/>
          <w:u w:val="single"/>
        </w:rPr>
        <w:t>Swedish Krona</w:t>
      </w:r>
      <w:r>
        <w:rPr>
          <w:rFonts w:ascii="Times New Roman" w:hAnsi="Times New Roman"/>
          <w:sz w:val="20"/>
        </w:rPr>
        <w:t>” or “</w:t>
      </w:r>
      <w:r>
        <w:rPr>
          <w:rFonts w:ascii="Times New Roman" w:hAnsi="Times New Roman"/>
          <w:sz w:val="20"/>
          <w:u w:val="single"/>
        </w:rPr>
        <w:t>SEK</w:t>
      </w:r>
      <w:r>
        <w:rPr>
          <w:rFonts w:ascii="Times New Roman" w:hAnsi="Times New Roman"/>
          <w:sz w:val="20"/>
        </w:rPr>
        <w:t xml:space="preserve">” means the lawful currency of Sweden. </w:t>
      </w:r>
    </w:p>
    <w:p>
      <w:pPr>
        <w:pStyle w:val="TextBody"/>
        <w:bidi w:val="0"/>
        <w:spacing w:before="240" w:after="0"/>
        <w:jc w:val="left"/>
        <w:rPr/>
      </w:pPr>
      <w:r>
        <w:rPr/>
        <w:t>“</w:t>
      </w:r>
      <w:r>
        <w:rPr>
          <w:rFonts w:ascii="Times New Roman" w:hAnsi="Times New Roman"/>
          <w:sz w:val="20"/>
          <w:u w:val="single"/>
        </w:rPr>
        <w:t>Tax” or “Taxes</w:t>
      </w:r>
      <w:r>
        <w:rPr>
          <w:rFonts w:ascii="Times New Roman" w:hAnsi="Times New Roman"/>
          <w:sz w:val="20"/>
        </w:rPr>
        <w:t xml:space="preserve">” means all present or future taxes, levies, imposts, duties, deductions, withholdings (including backup withholding), assessments, fees or other charges imposed by any Governmental Authority, including any interest, additions to tax or penalties applicable thereto.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Tax Deduction” has the meaning set forth in Section 7.01(x)(ii).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Termination Date</w:t>
      </w:r>
      <w:r>
        <w:rPr>
          <w:rFonts w:ascii="Times New Roman" w:hAnsi="Times New Roman"/>
          <w:sz w:val="20"/>
        </w:rPr>
        <w:t xml:space="preserve">” means the earliest to occur of (a) the Scheduled Termination Date, (b) the date on which the Facility Limit is terminated in whole pursuant to </w:t>
      </w:r>
      <w:r>
        <w:rPr>
          <w:rFonts w:ascii="Times New Roman" w:hAnsi="Times New Roman"/>
          <w:sz w:val="20"/>
          <w:u w:val="single"/>
        </w:rPr>
        <w:t>Section 2.02(e)</w:t>
      </w:r>
      <w:r>
        <w:rPr>
          <w:rFonts w:ascii="Times New Roman" w:hAnsi="Times New Roman"/>
          <w:sz w:val="20"/>
        </w:rPr>
        <w:t xml:space="preserve">, (c) the date on which the “Termination Date” is declared or deemed to have occurred under </w:t>
      </w:r>
      <w:r>
        <w:rPr>
          <w:rFonts w:ascii="Times New Roman" w:hAnsi="Times New Roman"/>
          <w:sz w:val="20"/>
          <w:u w:val="single"/>
        </w:rPr>
        <w:t>Section 9.02</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(d) the date on which all Commitments have been reduced to zero</w:t>
      </w:r>
      <w:r>
        <w:rPr>
          <w:rFonts w:ascii="Times New Roman" w:hAnsi="Times New Roman"/>
          <w:color w:val="0000FF"/>
          <w:sz w:val="20"/>
          <w:u w:val="single"/>
          <w:bdr w:val="double" w:sz="2" w:space="1" w:color="000000"/>
        </w:rPr>
        <w:t>, and (e) the date that is ninety-one (91) days or fewer days prior to the Earliest Maturity Date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Term SOFR Administrator</w:t>
      </w:r>
      <w:r>
        <w:rPr>
          <w:rFonts w:ascii="Times New Roman" w:hAnsi="Times New Roman"/>
          <w:sz w:val="20"/>
        </w:rPr>
        <w:t xml:space="preserve">” means CME Group Benchmark Administration Limited (CBA) (or a successor administrator of the Term SOFR Reference Rate selected by the Administrative Agent in its reasonable discretion). </w:t>
      </w:r>
    </w:p>
    <w:p>
      <w:pPr>
        <w:pStyle w:val="TextBody"/>
        <w:bidi w:val="0"/>
        <w:spacing w:before="240" w:after="0"/>
        <w:jc w:val="left"/>
        <w:rPr/>
      </w:pPr>
      <w:r>
        <w:rPr/>
        <w:t>“</w:t>
      </w:r>
      <w:r>
        <w:rPr>
          <w:rFonts w:ascii="Times New Roman" w:hAnsi="Times New Roman"/>
          <w:sz w:val="20"/>
          <w:u w:val="single"/>
        </w:rPr>
        <w:t>Term SOFR Rate</w:t>
      </w:r>
      <w:r>
        <w:rPr>
          <w:rFonts w:ascii="Times New Roman" w:hAnsi="Times New Roman"/>
          <w:sz w:val="20"/>
        </w:rPr>
        <w:t>” means, with respect to any amount for which the Term SOFR Reference Rate applies, for any day in any Interest Period, the interest rate per annum determined by the Administrative Agent by dividing (the resulting quotient rounded upwards, at the Administrative Agent’s discretion, to the nearest 1/100th of 1%) (A) the Term SOFR Reference Rate for a term of one month on the day (the “</w:t>
      </w:r>
      <w:r>
        <w:rPr>
          <w:rFonts w:ascii="Times New Roman" w:hAnsi="Times New Roman"/>
          <w:sz w:val="20"/>
          <w:u w:val="single"/>
        </w:rPr>
        <w:t>Term SOFR Determination Date</w:t>
      </w:r>
      <w:r>
        <w:rPr>
          <w:rFonts w:ascii="Times New Roman" w:hAnsi="Times New Roman"/>
          <w:sz w:val="20"/>
        </w:rPr>
        <w:t xml:space="preserve">”) that is two (2) Business Days prior to the first day of such Interest Period, as such rate is published by the Term SOFR Administrator, by (B) a number equal to 1.00 minus the SOFR Reserve Percentage. If the Term SOFR Reference Rate for the applicable tenor has not been published or replaced with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Benchmark Replacement by 5:00 p.m. (Pittsburgh, Pennsylvania time) on the Term SOFR Determination Date, then the Term SOFR Reference Rate, for purposes of </w:t>
      </w:r>
      <w:r>
        <w:rPr>
          <w:rFonts w:ascii="Times New Roman" w:hAnsi="Times New Roman"/>
          <w:sz w:val="20"/>
          <w:u w:val="single"/>
        </w:rPr>
        <w:t>clause (A)</w:t>
      </w:r>
      <w:r>
        <w:rPr>
          <w:rFonts w:ascii="Times New Roman" w:hAnsi="Times New Roman"/>
          <w:sz w:val="20"/>
        </w:rPr>
        <w:t xml:space="preserve"> in the preceding sentence, shall be the Term SOFR Reference Rate for such tenor on the first Business Day preceding such Term SOFR Determination Date for which such Term SOFR Reference Rate for such tenor was published in accordance herewith, so long as such first preceding Business Day is not more than three (3) Business Days prior to such Term SOFR Determination Date. If the Term SOFR Rate, determined as provided above, would be less than the SOFR Floor, then the Term SOFR Rate shall be deemed to be the SOFR Floor. </w:t>
      </w:r>
    </w:p>
    <w:p>
      <w:pPr>
        <w:pStyle w:val="TextBody"/>
        <w:bidi w:val="0"/>
        <w:spacing w:before="240" w:after="0"/>
        <w:jc w:val="left"/>
        <w:rPr/>
      </w:pPr>
      <w:r>
        <w:rPr/>
        <w:t>“</w:t>
      </w:r>
      <w:r>
        <w:rPr>
          <w:rFonts w:ascii="Times New Roman" w:hAnsi="Times New Roman"/>
          <w:sz w:val="20"/>
          <w:u w:val="single"/>
        </w:rPr>
        <w:t>Term SOFR Reference Rate</w:t>
      </w:r>
      <w:r>
        <w:rPr>
          <w:rFonts w:ascii="Times New Roman" w:hAnsi="Times New Roman"/>
          <w:sz w:val="20"/>
        </w:rPr>
        <w:t xml:space="preserve">” means the forward-looking term rate based on SOFR. </w:t>
      </w:r>
    </w:p>
    <w:p>
      <w:pPr>
        <w:pStyle w:val="TextBody"/>
        <w:bidi w:val="0"/>
        <w:spacing w:before="240" w:after="0"/>
        <w:jc w:val="left"/>
        <w:rPr/>
      </w:pPr>
      <w:r>
        <w:rPr/>
        <w:t>“</w:t>
      </w:r>
      <w:r>
        <w:rPr>
          <w:rFonts w:ascii="Times New Roman" w:hAnsi="Times New Roman"/>
          <w:sz w:val="20"/>
          <w:u w:val="single"/>
        </w:rPr>
        <w:t>Test Period</w:t>
      </w:r>
      <w:r>
        <w:rPr>
          <w:rFonts w:ascii="Times New Roman" w:hAnsi="Times New Roman"/>
          <w:sz w:val="20"/>
        </w:rPr>
        <w:t xml:space="preserve">” has the meaning assigned thereto in the Credit Agreement as in effect on the Closing Date and without giving effect to any subsequent amendments thereto. Any capitalized terms used within such defined term and its components shall have the meanings assigned thereto in the Credit Agreement as in effect on the Closing Date and without giving effect to any subsequent amendments thereto. </w:t>
      </w:r>
    </w:p>
    <w:p>
      <w:pPr>
        <w:pStyle w:val="TextBody"/>
        <w:bidi w:val="0"/>
        <w:spacing w:before="240" w:after="0"/>
        <w:jc w:val="left"/>
        <w:rPr/>
      </w:pPr>
      <w:r>
        <w:rPr/>
        <w:t>“</w:t>
      </w:r>
      <w:r>
        <w:rPr>
          <w:rFonts w:ascii="Times New Roman" w:hAnsi="Times New Roman"/>
          <w:sz w:val="20"/>
          <w:u w:val="single"/>
        </w:rPr>
        <w:t>Third Amendment Effective Date</w:t>
      </w:r>
      <w:r>
        <w:rPr>
          <w:rFonts w:ascii="Times New Roman" w:hAnsi="Times New Roman"/>
          <w:sz w:val="20"/>
        </w:rPr>
        <w:t xml:space="preserve">” means July 3, 2025. </w:t>
      </w:r>
    </w:p>
    <w:p>
      <w:pPr>
        <w:pStyle w:val="TextBody"/>
        <w:bidi w:val="0"/>
        <w:spacing w:before="240" w:after="0"/>
        <w:jc w:val="left"/>
        <w:rPr/>
      </w:pPr>
      <w:r>
        <w:rPr/>
        <w:t>“</w:t>
      </w:r>
      <w:r>
        <w:rPr>
          <w:rFonts w:ascii="Times New Roman" w:hAnsi="Times New Roman"/>
          <w:sz w:val="20"/>
          <w:u w:val="single"/>
        </w:rPr>
        <w:t>Threshold Amount</w:t>
      </w:r>
      <w:r>
        <w:rPr>
          <w:rFonts w:ascii="Times New Roman" w:hAnsi="Times New Roman"/>
          <w:sz w:val="20"/>
        </w:rPr>
        <w:t xml:space="preserve">” means (a) with respect to the Borrower or its Debt, $16,750, and (b) with respect to any other Borrower-Related Party or Affiliate thereof or its Debt, $65,000,000. </w:t>
      </w:r>
    </w:p>
    <w:p>
      <w:pPr>
        <w:pStyle w:val="TextBody"/>
        <w:bidi w:val="0"/>
        <w:spacing w:before="240" w:after="0"/>
        <w:jc w:val="left"/>
        <w:rPr/>
      </w:pPr>
      <w:r>
        <w:rPr/>
        <w:t>“</w:t>
      </w:r>
      <w:r>
        <w:rPr>
          <w:rFonts w:ascii="Times New Roman" w:hAnsi="Times New Roman"/>
          <w:sz w:val="20"/>
          <w:u w:val="single"/>
        </w:rPr>
        <w:t>Tier I Eligible Foreign Obligor</w:t>
      </w:r>
      <w:r>
        <w:rPr>
          <w:rFonts w:ascii="Times New Roman" w:hAnsi="Times New Roman"/>
          <w:sz w:val="20"/>
        </w:rPr>
        <w:t xml:space="preserve">” means an Eligible Foreign Obligor that is organized in or that has a head office (domicile), registered office, and/or chief executive office located in any country that has a long-term foreign currency rating of at least “A” by S&amp;P and “A2” by Moody’s. </w:t>
      </w:r>
    </w:p>
    <w:p>
      <w:pPr>
        <w:pStyle w:val="TextBody"/>
        <w:bidi w:val="0"/>
        <w:spacing w:before="240" w:after="0"/>
        <w:jc w:val="left"/>
        <w:rPr/>
      </w:pPr>
      <w:r>
        <w:rPr/>
        <w:t>“</w:t>
      </w:r>
      <w:r>
        <w:rPr>
          <w:rFonts w:ascii="Times New Roman" w:hAnsi="Times New Roman"/>
          <w:sz w:val="20"/>
          <w:u w:val="single"/>
        </w:rPr>
        <w:t>Tier II Eligible Foreign Obligor</w:t>
      </w:r>
      <w:r>
        <w:rPr>
          <w:rFonts w:ascii="Times New Roman" w:hAnsi="Times New Roman"/>
          <w:sz w:val="20"/>
        </w:rPr>
        <w:t xml:space="preserve">” means an Eligible Foreign Obligor that is not a Tier I Eligible Foreign Obligor that is organized in or that has a head office (domicile), registered office, and/or chief executive office located in any country that has a long-term foreign currency rating of at least “BBB-” by S&amp;P and “Baa3” by Moody’s. </w:t>
      </w:r>
    </w:p>
    <w:p>
      <w:pPr>
        <w:pStyle w:val="TextBody"/>
        <w:bidi w:val="0"/>
        <w:spacing w:before="240" w:after="0"/>
        <w:jc w:val="left"/>
        <w:rPr/>
      </w:pPr>
      <w:r>
        <w:rPr/>
        <w:t>“</w:t>
      </w:r>
      <w:r>
        <w:rPr>
          <w:rFonts w:ascii="Times New Roman" w:hAnsi="Times New Roman"/>
          <w:sz w:val="20"/>
          <w:u w:val="single"/>
        </w:rPr>
        <w:t>Tier III Eligible Foreign Obligor</w:t>
      </w:r>
      <w:r>
        <w:rPr>
          <w:rFonts w:ascii="Times New Roman" w:hAnsi="Times New Roman"/>
          <w:sz w:val="20"/>
        </w:rPr>
        <w:t xml:space="preserve">” means an Eligible Foreign Obligor that is not a Tier I Eligible Foreign Obligor or a Tier II Eligible Foreign Obligor. </w:t>
      </w:r>
    </w:p>
    <w:p>
      <w:pPr>
        <w:pStyle w:val="TextBody"/>
        <w:bidi w:val="0"/>
        <w:spacing w:before="240" w:after="0"/>
        <w:jc w:val="left"/>
        <w:rPr/>
      </w:pPr>
      <w:r>
        <w:rPr/>
        <w:t>“</w:t>
      </w:r>
      <w:r>
        <w:rPr>
          <w:rFonts w:ascii="Times New Roman" w:hAnsi="Times New Roman"/>
          <w:sz w:val="20"/>
          <w:u w:val="single"/>
        </w:rPr>
        <w:t>Total Net Leverage Ratio</w:t>
      </w:r>
      <w:r>
        <w:rPr>
          <w:rFonts w:ascii="Times New Roman" w:hAnsi="Times New Roman"/>
          <w:sz w:val="20"/>
        </w:rPr>
        <w:t xml:space="preserve">” means, as of any date of determination, the ratio of (a) Consolidated Total Indebtedness as of such date to (b) Consolidated EBITDA for the most recently completed Test Period. </w:t>
      </w:r>
    </w:p>
    <w:p>
      <w:pPr>
        <w:pStyle w:val="TextBody"/>
        <w:bidi w:val="0"/>
        <w:spacing w:before="240" w:after="0"/>
        <w:jc w:val="left"/>
        <w:rPr/>
      </w:pPr>
      <w:r>
        <w:rPr/>
        <w:t>“</w:t>
      </w:r>
      <w:r>
        <w:rPr>
          <w:rFonts w:ascii="Times New Roman" w:hAnsi="Times New Roman"/>
          <w:sz w:val="20"/>
          <w:u w:val="single"/>
        </w:rPr>
        <w:t>Total Reserves</w:t>
      </w:r>
      <w:r>
        <w:rPr>
          <w:rFonts w:ascii="Times New Roman" w:hAnsi="Times New Roman"/>
          <w:sz w:val="20"/>
        </w:rPr>
        <w:t xml:space="preserve">” means, at any time, an amount equal to the product of (a) the sum of: (i) the Yield Reserve Percentage, (ii) the Foreign Currency Reserve Percentage, (iii) the greater of (x) the sum of the Concentration Reserve Percentage, </w:t>
      </w:r>
      <w:r>
        <w:rPr>
          <w:rFonts w:ascii="Times New Roman" w:hAnsi="Times New Roman"/>
          <w:sz w:val="20"/>
          <w:u w:val="single"/>
        </w:rPr>
        <w:t>plus</w:t>
      </w:r>
      <w:r>
        <w:rPr>
          <w:rFonts w:ascii="Times New Roman" w:hAnsi="Times New Roman"/>
          <w:sz w:val="20"/>
        </w:rPr>
        <w:t xml:space="preserve"> the Minimum Dilution Reserve Percentage and (y) the sum of the Loss Reserve Percentage, </w:t>
      </w:r>
      <w:r>
        <w:rPr>
          <w:rFonts w:ascii="Times New Roman" w:hAnsi="Times New Roman"/>
          <w:sz w:val="20"/>
          <w:u w:val="single"/>
        </w:rPr>
        <w:t>plus</w:t>
      </w:r>
      <w:r>
        <w:rPr>
          <w:rFonts w:ascii="Times New Roman" w:hAnsi="Times New Roman"/>
          <w:sz w:val="20"/>
        </w:rPr>
        <w:t xml:space="preserve"> the Dilution Reserve Percentage, </w:t>
      </w:r>
      <w:r>
        <w:rPr>
          <w:rFonts w:ascii="Times New Roman" w:hAnsi="Times New Roman"/>
          <w:sz w:val="20"/>
          <w:u w:val="single"/>
        </w:rPr>
        <w:t>times</w:t>
      </w:r>
      <w:r>
        <w:rPr>
          <w:rFonts w:ascii="Times New Roman" w:hAnsi="Times New Roman"/>
          <w:sz w:val="20"/>
        </w:rPr>
        <w:t xml:space="preserve"> (b) the Net Receivables Pool Balance at such time. </w:t>
      </w:r>
    </w:p>
    <w:p>
      <w:pPr>
        <w:pStyle w:val="TextBody"/>
        <w:bidi w:val="0"/>
        <w:spacing w:before="240" w:after="0"/>
        <w:jc w:val="left"/>
        <w:rPr/>
      </w:pPr>
      <w:r>
        <w:rPr/>
        <w:t>“</w:t>
      </w:r>
      <w:r>
        <w:rPr>
          <w:rFonts w:ascii="Times New Roman" w:hAnsi="Times New Roman"/>
          <w:sz w:val="20"/>
          <w:u w:val="single"/>
        </w:rPr>
        <w:t>Transaction Documents</w:t>
      </w:r>
      <w:r>
        <w:rPr>
          <w:rFonts w:ascii="Times New Roman" w:hAnsi="Times New Roman"/>
          <w:sz w:val="20"/>
        </w:rPr>
        <w:t xml:space="preserve">” means this Agreement, each Transfer Agreement, the Account Control Agreements, each Fee Letter, each Subordinated Loan Agreement, the Performance Guaranty, the UK Risk Retention Letter Agreement, the UK Security Agreement, each UK Power of Attorney, </w:t>
      </w:r>
      <w:r>
        <w:rPr>
          <w:rFonts w:ascii="Times New Roman" w:hAnsi="Times New Roman"/>
          <w:color w:val="0000FF"/>
          <w:sz w:val="20"/>
          <w:u w:val="single"/>
          <w:bdr w:val="double" w:sz="2" w:space="1" w:color="000000"/>
        </w:rPr>
        <w:t xml:space="preserve">each SG Power of Attorney, the SG Sale Agreement, the SG Security Agreement, </w:t>
      </w:r>
      <w:r>
        <w:rPr>
          <w:rFonts w:ascii="Times New Roman" w:hAnsi="Times New Roman"/>
          <w:sz w:val="20"/>
        </w:rPr>
        <w:t xml:space="preserve">any Credit Insurance Policy and all other certificates, instruments, UCC financing statements, reports, notices, agreements and documents executed or delivered under or in connection with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Transfer Agreement</w:t>
      </w:r>
      <w:r>
        <w:rPr>
          <w:rFonts w:ascii="Times New Roman" w:hAnsi="Times New Roman"/>
          <w:sz w:val="20"/>
        </w:rPr>
        <w:t xml:space="preserve">” means the UK </w:t>
      </w:r>
      <w:r>
        <w:rPr>
          <w:rFonts w:ascii="Times New Roman" w:hAnsi="Times New Roman"/>
          <w:color w:val="0000FF"/>
          <w:sz w:val="20"/>
          <w:u w:val="single"/>
          <w:bdr w:val="double" w:sz="2" w:space="1" w:color="000000"/>
        </w:rPr>
        <w:t xml:space="preserve">Sale Agreement, the SG </w:t>
      </w:r>
      <w:r>
        <w:rPr>
          <w:rFonts w:ascii="Times New Roman" w:hAnsi="Times New Roman"/>
          <w:sz w:val="20"/>
        </w:rPr>
        <w:t xml:space="preserve">Sale Agreement and the U.S. Sale and Contribution Agreement, as applicable. </w:t>
      </w:r>
    </w:p>
    <w:p>
      <w:pPr>
        <w:pStyle w:val="TextBody"/>
        <w:bidi w:val="0"/>
        <w:spacing w:before="240" w:after="0"/>
        <w:jc w:val="left"/>
        <w:rPr/>
      </w:pPr>
      <w:r>
        <w:rPr/>
        <w:t>“</w:t>
      </w:r>
      <w:r>
        <w:rPr>
          <w:rFonts w:ascii="Times New Roman" w:hAnsi="Times New Roman"/>
          <w:sz w:val="20"/>
          <w:u w:val="single"/>
        </w:rPr>
        <w:t>Transfer Termination Event</w:t>
      </w:r>
      <w:r>
        <w:rPr>
          <w:rFonts w:ascii="Times New Roman" w:hAnsi="Times New Roman"/>
          <w:sz w:val="20"/>
        </w:rPr>
        <w:t xml:space="preserve">” means the occurrence of any event or circumstance (including the occurrence of the “Sale and Contribution Termination Date” </w:t>
      </w:r>
      <w:r>
        <w:rPr>
          <w:rFonts w:ascii="Times New Roman" w:hAnsi="Times New Roman"/>
          <w:strike/>
          <w:color w:val="FF0000"/>
          <w:sz w:val="20"/>
        </w:rPr>
        <w:t>or the “Sale Termination Date</w:t>
      </w:r>
      <w:r>
        <w:rPr>
          <w:rFonts w:ascii="Times New Roman" w:hAnsi="Times New Roman"/>
          <w:sz w:val="20"/>
        </w:rPr>
        <w:t>” as defined in the U.S. Sale and Contribution Agreement</w:t>
      </w:r>
      <w:r>
        <w:rPr>
          <w:rFonts w:ascii="Times New Roman" w:hAnsi="Times New Roman"/>
          <w:strike/>
          <w:color w:val="FF0000"/>
          <w:sz w:val="20"/>
        </w:rPr>
        <w:t xml:space="preserve"> or</w:t>
      </w:r>
      <w:r>
        <w:rPr>
          <w:rFonts w:ascii="Times New Roman" w:hAnsi="Times New Roman"/>
          <w:color w:val="0000FF"/>
          <w:sz w:val="20"/>
          <w:u w:val="single"/>
          <w:bdr w:val="double" w:sz="2" w:space="1" w:color="000000"/>
        </w:rPr>
        <w:t>, the “Sale Termination Date” as defined in the</w:t>
      </w:r>
      <w:r>
        <w:rPr>
          <w:rFonts w:ascii="Times New Roman" w:hAnsi="Times New Roman"/>
          <w:sz w:val="20"/>
        </w:rPr>
        <w:t xml:space="preserve"> UK Sale Agreement</w:t>
      </w:r>
      <w:r>
        <w:rPr>
          <w:rFonts w:ascii="Times New Roman" w:hAnsi="Times New Roman"/>
          <w:strike/>
          <w:color w:val="FF0000"/>
          <w:sz w:val="20"/>
        </w:rPr>
        <w:t>, respectively</w:t>
      </w:r>
      <w:r>
        <w:rPr>
          <w:rFonts w:ascii="Times New Roman" w:hAnsi="Times New Roman"/>
          <w:color w:val="008000"/>
          <w:sz w:val="20"/>
          <w:u w:val="single"/>
          <w:bdr w:val="double" w:sz="2" w:space="1" w:color="000000"/>
        </w:rPr>
        <w:t xml:space="preserve"> or the “Sale Termination Date”</w:t>
      </w:r>
      <w:r>
        <w:rPr>
          <w:rFonts w:ascii="Times New Roman" w:hAnsi="Times New Roman"/>
          <w:color w:val="0000FF"/>
          <w:sz w:val="20"/>
          <w:u w:val="single"/>
          <w:bdr w:val="double" w:sz="2" w:space="1" w:color="000000"/>
        </w:rPr>
        <w:t xml:space="preserve"> as defined in the SG Sale Agreement</w:t>
      </w:r>
      <w:r>
        <w:rPr>
          <w:rFonts w:ascii="Times New Roman" w:hAnsi="Times New Roman"/>
          <w:sz w:val="20"/>
        </w:rPr>
        <w:t xml:space="preserve">) that causes any Originator to cease selling or contributing Receivables to the Borrower thereunder;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 Originator ceasing to be a party to a Transfer Agreement with the prior written consent of the Borrower and the Administrative Agent shall not constitute a Transfer Termination Event. </w:t>
      </w:r>
    </w:p>
    <w:p>
      <w:pPr>
        <w:pStyle w:val="TextBody"/>
        <w:bidi w:val="0"/>
        <w:spacing w:before="240" w:after="0"/>
        <w:jc w:val="left"/>
        <w:rPr/>
      </w:pPr>
      <w:r>
        <w:rPr/>
        <w:t>“</w:t>
      </w:r>
      <w:r>
        <w:rPr>
          <w:rFonts w:ascii="Times New Roman" w:hAnsi="Times New Roman"/>
          <w:sz w:val="20"/>
          <w:u w:val="single"/>
        </w:rPr>
        <w:t>Travel Event</w:t>
      </w:r>
      <w:r>
        <w:rPr>
          <w:rFonts w:ascii="Times New Roman" w:hAnsi="Times New Roman"/>
          <w:sz w:val="20"/>
        </w:rPr>
        <w:t xml:space="preserve">” means the occurrence of any (i) act of terrorism, (ii) war, combat or similar hostilities, (iii) epidemic or other public health threat, (iv) significant travel safety incident or (v) national or international calamity, crisis or emergency that, in any such case, singly or in the aggregate, directly or indirectly, adversely affects or disrupts the travel industry. </w:t>
      </w:r>
    </w:p>
    <w:p>
      <w:pPr>
        <w:pStyle w:val="TextBody"/>
        <w:bidi w:val="0"/>
        <w:spacing w:before="240" w:after="0"/>
        <w:jc w:val="left"/>
        <w:rPr/>
      </w:pPr>
      <w:r>
        <w:rPr/>
        <w:t>“</w:t>
      </w:r>
      <w:r>
        <w:rPr>
          <w:rFonts w:ascii="Times New Roman" w:hAnsi="Times New Roman"/>
          <w:sz w:val="20"/>
          <w:u w:val="single"/>
        </w:rPr>
        <w:t>Treasury Rate</w:t>
      </w:r>
      <w:r>
        <w:rPr>
          <w:rFonts w:ascii="Times New Roman" w:hAnsi="Times New Roman"/>
          <w:sz w:val="20"/>
        </w:rPr>
        <w:t xml:space="preserve">” means, as of any date of an applicable prepayment or repayment of the Class B Term Loans, the yield to maturity, as of such date, interpolated on a straight-line basis between United States Treasury securities with constant maturities (as compiled and published in the most recent Federal Reserve Statistical Release H.15 (519) that has become publicly available at least three Business Days prior to such date (or, if such Statistical Release is no longer published, any publicly available source of similar market data)) most nearly equal to the period from such date to the First Call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period from such redemption date to the First Call Date is less than one year, the weekly average yield on one year constant maturity United States Treasury securities (as compiled and published in the most recent Federal Reserve Statistical Release H.15 (519) that has become publicly available at least three Business Days prior to such redemption date (or, if such Statistical Release is no longer published, any publicly available source of similar market data)) shall be used for such interpolation in lieu of the yield to maturity of United States Treasury securities with a constant maturity. </w:t>
      </w:r>
    </w:p>
    <w:p>
      <w:pPr>
        <w:pStyle w:val="TextBody"/>
        <w:bidi w:val="0"/>
        <w:spacing w:before="240" w:after="0"/>
        <w:jc w:val="left"/>
        <w:rPr/>
      </w:pPr>
      <w:r>
        <w:rPr/>
        <w:t>“</w:t>
      </w:r>
      <w:r>
        <w:rPr>
          <w:rFonts w:ascii="Times New Roman" w:hAnsi="Times New Roman"/>
          <w:sz w:val="20"/>
          <w:u w:val="single"/>
        </w:rPr>
        <w:t>UCC</w:t>
      </w:r>
      <w:r>
        <w:rPr>
          <w:rFonts w:ascii="Times New Roman" w:hAnsi="Times New Roman"/>
          <w:sz w:val="20"/>
        </w:rPr>
        <w:t xml:space="preserve">” means the Uniform Commercial Code as from time to time in effect in the applicable jurisdiction. </w:t>
      </w:r>
    </w:p>
    <w:p>
      <w:pPr>
        <w:pStyle w:val="TextBody"/>
        <w:bidi w:val="0"/>
        <w:spacing w:before="240" w:after="0"/>
        <w:jc w:val="left"/>
        <w:rPr/>
      </w:pPr>
      <w:r>
        <w:rPr/>
        <w:t>“</w:t>
      </w:r>
      <w:r>
        <w:rPr>
          <w:rFonts w:ascii="Times New Roman" w:hAnsi="Times New Roman"/>
          <w:sz w:val="20"/>
          <w:u w:val="single"/>
        </w:rPr>
        <w:t>UK Financial Institution</w:t>
      </w:r>
      <w:r>
        <w:rPr>
          <w:rFonts w:ascii="Times New Roman" w:hAnsi="Times New Roman"/>
          <w:sz w:val="20"/>
        </w:rPr>
        <w:t xml:space="preserve">”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UK Obligor” means an Obligor that is a corporation or other business organization and is organized in the United Kingdom or any political subdivision thereof.</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UK Originator</w:t>
      </w:r>
      <w:r>
        <w:rPr>
          <w:rFonts w:ascii="Times New Roman" w:hAnsi="Times New Roman"/>
          <w:sz w:val="20"/>
        </w:rPr>
        <w:t xml:space="preserve">” means any Person organized in the United Kingdom (or any political subdivision thereof) from time to time a party to the UK Sale Agreement as an “Originator” thereunder. </w:t>
      </w:r>
    </w:p>
    <w:p>
      <w:pPr>
        <w:pStyle w:val="TextBody"/>
        <w:bidi w:val="0"/>
        <w:spacing w:before="240" w:after="0"/>
        <w:jc w:val="left"/>
        <w:rPr/>
      </w:pPr>
      <w:r>
        <w:rPr/>
        <w:t>“</w:t>
      </w:r>
      <w:r>
        <w:rPr>
          <w:rFonts w:ascii="Times New Roman" w:hAnsi="Times New Roman"/>
          <w:sz w:val="20"/>
          <w:u w:val="single"/>
        </w:rPr>
        <w:t>UK Power of Attorney</w:t>
      </w:r>
      <w:r>
        <w:rPr>
          <w:rFonts w:ascii="Times New Roman" w:hAnsi="Times New Roman"/>
          <w:sz w:val="20"/>
        </w:rPr>
        <w:t>” means (i) an English law power of attorney, to be dated on or about the Initial Funding Date, between the Borrower and the Administrative Agent and; (ii) </w:t>
      </w:r>
      <w:r>
        <w:rPr>
          <w:rFonts w:ascii="Times New Roman" w:hAnsi="Times New Roman"/>
          <w:strike/>
          <w:color w:val="FF0000"/>
          <w:sz w:val="20"/>
        </w:rPr>
        <w:t>and</w:t>
      </w:r>
      <w:r>
        <w:rPr>
          <w:rFonts w:ascii="Times New Roman" w:hAnsi="Times New Roman"/>
          <w:color w:val="0000FF"/>
          <w:sz w:val="20"/>
          <w:u w:val="single"/>
          <w:bdr w:val="double" w:sz="2" w:space="1" w:color="000000"/>
        </w:rPr>
        <w:t>an</w:t>
      </w:r>
      <w:r>
        <w:rPr>
          <w:rFonts w:ascii="Times New Roman" w:hAnsi="Times New Roman"/>
          <w:sz w:val="20"/>
        </w:rPr>
        <w:t xml:space="preserve"> English law power of attorney, to be dated on or about the Initial Funding Date, between the UK Originator and the Borrower. </w:t>
      </w:r>
    </w:p>
    <w:p>
      <w:pPr>
        <w:pStyle w:val="TextBody"/>
        <w:bidi w:val="0"/>
        <w:spacing w:before="240" w:after="0"/>
        <w:jc w:val="left"/>
        <w:rPr/>
      </w:pPr>
      <w:r>
        <w:rPr/>
        <w:t>“</w:t>
      </w:r>
      <w:r>
        <w:rPr>
          <w:rFonts w:ascii="Times New Roman" w:hAnsi="Times New Roman"/>
          <w:sz w:val="20"/>
          <w:u w:val="single"/>
        </w:rPr>
        <w:t>UK Receivables</w:t>
      </w:r>
      <w:r>
        <w:rPr>
          <w:rFonts w:ascii="Times New Roman" w:hAnsi="Times New Roman"/>
          <w:sz w:val="20"/>
        </w:rPr>
        <w:t xml:space="preserve">” means Receivables acquired pursuant to the UK Sale Agreement. </w:t>
      </w:r>
    </w:p>
    <w:p>
      <w:pPr>
        <w:pStyle w:val="TextBody"/>
        <w:bidi w:val="0"/>
        <w:spacing w:before="240" w:after="0"/>
        <w:jc w:val="left"/>
        <w:rPr/>
      </w:pPr>
      <w:r>
        <w:rPr/>
        <w:t>“</w:t>
      </w:r>
      <w:r>
        <w:rPr>
          <w:rFonts w:ascii="Times New Roman" w:hAnsi="Times New Roman"/>
          <w:sz w:val="20"/>
          <w:u w:val="single"/>
        </w:rPr>
        <w:t>UK Resolution Authority</w:t>
      </w:r>
      <w:r>
        <w:rPr>
          <w:rFonts w:ascii="Times New Roman" w:hAnsi="Times New Roman"/>
          <w:sz w:val="20"/>
        </w:rPr>
        <w:t xml:space="preserve">” means the Bank of England or any other public administrative authority having responsibility for the resolution of any UK Financial Institution. </w:t>
      </w:r>
    </w:p>
    <w:p>
      <w:pPr>
        <w:pStyle w:val="TextBody"/>
        <w:bidi w:val="0"/>
        <w:spacing w:before="240" w:after="0"/>
        <w:jc w:val="left"/>
        <w:rPr/>
      </w:pPr>
      <w:r>
        <w:rPr/>
        <w:t>“</w:t>
      </w:r>
      <w:r>
        <w:rPr>
          <w:rFonts w:ascii="Times New Roman" w:hAnsi="Times New Roman"/>
          <w:sz w:val="20"/>
          <w:u w:val="single"/>
        </w:rPr>
        <w:t xml:space="preserve">UK Risk Retention </w:t>
      </w:r>
      <w:r>
        <w:rPr>
          <w:rFonts w:ascii="Times New Roman" w:hAnsi="Times New Roman"/>
          <w:strike/>
          <w:color w:val="FF0000"/>
          <w:sz w:val="20"/>
          <w:u w:val="single"/>
        </w:rPr>
        <w:t>letter</w:t>
      </w:r>
      <w:r>
        <w:rPr>
          <w:rFonts w:ascii="Times New Roman" w:hAnsi="Times New Roman"/>
          <w:color w:val="0000FF"/>
          <w:sz w:val="20"/>
          <w:u w:val="single"/>
          <w:bdr w:val="double" w:sz="2" w:space="1" w:color="000000"/>
        </w:rPr>
        <w:t>Letter</w:t>
      </w:r>
      <w:r>
        <w:rPr>
          <w:rFonts w:ascii="Times New Roman" w:hAnsi="Times New Roman"/>
          <w:sz w:val="20"/>
        </w:rPr>
        <w:t xml:space="preserve"> </w:t>
      </w:r>
      <w:r>
        <w:rPr>
          <w:rFonts w:ascii="Times New Roman" w:hAnsi="Times New Roman"/>
          <w:sz w:val="20"/>
          <w:u w:val="single"/>
        </w:rPr>
        <w:t>Agreement</w:t>
      </w:r>
      <w:r>
        <w:rPr>
          <w:rFonts w:ascii="Times New Roman" w:hAnsi="Times New Roman"/>
          <w:sz w:val="20"/>
        </w:rPr>
        <w:t xml:space="preserve">” means the letter agreement relating to certain risk retention matters, to be dated on or about the Initial Funding Date, among the UK Originator and the Administrative Agent. </w:t>
      </w:r>
    </w:p>
    <w:p>
      <w:pPr>
        <w:pStyle w:val="TextBody"/>
        <w:bidi w:val="0"/>
        <w:spacing w:before="240" w:after="0"/>
        <w:jc w:val="left"/>
        <w:rPr/>
      </w:pPr>
      <w:r>
        <w:rPr/>
        <w:t>“</w:t>
      </w:r>
      <w:r>
        <w:rPr>
          <w:rFonts w:ascii="Times New Roman" w:hAnsi="Times New Roman"/>
          <w:sz w:val="20"/>
          <w:u w:val="single"/>
        </w:rPr>
        <w:t>UK Sale Agreement</w:t>
      </w:r>
      <w:r>
        <w:rPr>
          <w:rFonts w:ascii="Times New Roman" w:hAnsi="Times New Roman"/>
          <w:sz w:val="20"/>
        </w:rPr>
        <w:t xml:space="preserve">” means the English law Sale Agreement, to be dated on or about the Initial Funding Date, among the UK Servicer, the UK Originators and the Borrower. </w:t>
      </w:r>
    </w:p>
    <w:p>
      <w:pPr>
        <w:pStyle w:val="TextBody"/>
        <w:bidi w:val="0"/>
        <w:spacing w:before="240" w:after="0"/>
        <w:jc w:val="left"/>
        <w:rPr/>
      </w:pPr>
      <w:r>
        <w:rPr/>
        <w:t>“</w:t>
      </w:r>
      <w:r>
        <w:rPr>
          <w:rFonts w:ascii="Times New Roman" w:hAnsi="Times New Roman"/>
          <w:sz w:val="20"/>
          <w:u w:val="single"/>
        </w:rPr>
        <w:t>UK Security Agreement</w:t>
      </w:r>
      <w:r>
        <w:rPr>
          <w:rFonts w:ascii="Times New Roman" w:hAnsi="Times New Roman"/>
          <w:sz w:val="20"/>
        </w:rPr>
        <w:t xml:space="preserve">” means the English law Security Agreement, to be dated on or about the Initial Funding Date, between the Borrower, as chargor, and the Administrative Agent. </w:t>
      </w:r>
    </w:p>
    <w:p>
      <w:pPr>
        <w:pStyle w:val="TextBody"/>
        <w:bidi w:val="0"/>
        <w:spacing w:before="240" w:after="0"/>
        <w:jc w:val="left"/>
        <w:rPr/>
      </w:pPr>
      <w:r>
        <w:rPr/>
        <w:t>“</w:t>
      </w:r>
      <w:r>
        <w:rPr>
          <w:rFonts w:ascii="Times New Roman" w:hAnsi="Times New Roman"/>
          <w:sz w:val="20"/>
          <w:u w:val="single"/>
        </w:rPr>
        <w:t>UK Servicer</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Unbilled Receivable</w:t>
      </w:r>
      <w:r>
        <w:rPr>
          <w:rFonts w:ascii="Times New Roman" w:hAnsi="Times New Roman"/>
          <w:sz w:val="20"/>
        </w:rPr>
        <w:t xml:space="preserve">” means, at any time, any Receivable as to which the invoice or bill with respect thereto has not yet been sent to the Obligor thereof and the Contract relating thereto obligates the Obligor thereof to pay for the related services. </w:t>
      </w:r>
    </w:p>
    <w:p>
      <w:pPr>
        <w:pStyle w:val="TextBody"/>
        <w:bidi w:val="0"/>
        <w:spacing w:before="240" w:after="0"/>
        <w:jc w:val="left"/>
        <w:rPr/>
      </w:pPr>
      <w:r>
        <w:rPr/>
        <w:t>“</w:t>
      </w:r>
      <w:r>
        <w:rPr>
          <w:rFonts w:ascii="Times New Roman" w:hAnsi="Times New Roman"/>
          <w:sz w:val="20"/>
          <w:u w:val="single"/>
        </w:rPr>
        <w:t>Undrawn Fee</w:t>
      </w:r>
      <w:r>
        <w:rPr>
          <w:rFonts w:ascii="Times New Roman" w:hAnsi="Times New Roman"/>
          <w:sz w:val="20"/>
        </w:rPr>
        <w:t xml:space="preserve">” has the meaning set forth in the Fee Letters. </w:t>
      </w:r>
    </w:p>
    <w:p>
      <w:pPr>
        <w:pStyle w:val="TextBody"/>
        <w:bidi w:val="0"/>
        <w:spacing w:before="240" w:after="0"/>
        <w:jc w:val="left"/>
        <w:rPr/>
      </w:pPr>
      <w:r>
        <w:rPr/>
        <w:t>“</w:t>
      </w:r>
      <w:r>
        <w:rPr>
          <w:rFonts w:ascii="Times New Roman" w:hAnsi="Times New Roman"/>
          <w:sz w:val="20"/>
          <w:u w:val="single"/>
        </w:rPr>
        <w:t>USA PATRIOT Act</w:t>
      </w:r>
      <w:r>
        <w:rPr>
          <w:rFonts w:ascii="Times New Roman" w:hAnsi="Times New Roman"/>
          <w:sz w:val="20"/>
        </w:rPr>
        <w:t xml:space="preserve">” means the Uniting and Strengthening America by Providing Appropriate Tools Required to Intercept and Obstruct Terrorism Act of 2001, Public Law 107-56, as the same has been, or shall hereafter be, renewed, extended, amended or replaced. </w:t>
      </w:r>
    </w:p>
    <w:p>
      <w:pPr>
        <w:pStyle w:val="TextBody"/>
        <w:bidi w:val="0"/>
        <w:spacing w:before="240" w:after="0"/>
        <w:jc w:val="left"/>
        <w:rPr/>
      </w:pPr>
      <w:r>
        <w:rPr/>
        <w:t>“</w:t>
      </w:r>
      <w:r>
        <w:rPr>
          <w:rFonts w:ascii="Times New Roman" w:hAnsi="Times New Roman"/>
          <w:sz w:val="20"/>
          <w:u w:val="single"/>
        </w:rPr>
        <w:t>U.S. Collection Account</w:t>
      </w:r>
      <w:r>
        <w:rPr>
          <w:rFonts w:ascii="Times New Roman" w:hAnsi="Times New Roman"/>
          <w:sz w:val="20"/>
        </w:rPr>
        <w:t xml:space="preserve">” means any Collection Account maintained in the United States of America. </w:t>
      </w:r>
    </w:p>
    <w:p>
      <w:pPr>
        <w:pStyle w:val="TextBody"/>
        <w:bidi w:val="0"/>
        <w:spacing w:before="240" w:after="0"/>
        <w:jc w:val="left"/>
        <w:rPr/>
      </w:pPr>
      <w:r>
        <w:rPr/>
        <w:t>“</w:t>
      </w:r>
      <w:r>
        <w:rPr>
          <w:rFonts w:ascii="Times New Roman" w:hAnsi="Times New Roman"/>
          <w:sz w:val="20"/>
          <w:u w:val="single"/>
        </w:rPr>
        <w:t>U.S. Government Securities Business Day</w:t>
      </w:r>
      <w:r>
        <w:rPr>
          <w:rFonts w:ascii="Times New Roman" w:hAnsi="Times New Roman"/>
          <w:sz w:val="20"/>
        </w:rPr>
        <w:t xml:space="preserve">” means any day except for (a) a Saturday or Sunday or (b)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before="240" w:after="0"/>
        <w:jc w:val="left"/>
        <w:rPr/>
      </w:pPr>
      <w:r>
        <w:rPr/>
        <w:t>“</w:t>
      </w:r>
      <w:r>
        <w:rPr>
          <w:rFonts w:ascii="Times New Roman" w:hAnsi="Times New Roman"/>
          <w:sz w:val="20"/>
          <w:u w:val="single"/>
        </w:rPr>
        <w:t>U.S. Obligor</w:t>
      </w:r>
      <w:r>
        <w:rPr>
          <w:rFonts w:ascii="Times New Roman" w:hAnsi="Times New Roman"/>
          <w:sz w:val="20"/>
        </w:rPr>
        <w:t xml:space="preserve">” means an Obligor that is a corporation or other business organization and is organized under the laws of the United States of America (or of a United States of America territory, district, state, commonwealth, or possession, including, Puerto Rico and the U.S. Virgin Islands) or any political subdivision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U.S. Originator</w:t>
      </w:r>
      <w:r>
        <w:rPr>
          <w:rFonts w:ascii="Times New Roman" w:hAnsi="Times New Roman"/>
          <w:sz w:val="20"/>
        </w:rPr>
        <w:t>” means any Person organized in the United States of America (or any political subdivision thereof) from time to time a party to the U.S. Sale and Contribution Agreement as an “</w:t>
      </w:r>
      <w:r>
        <w:rPr>
          <w:rFonts w:ascii="Times New Roman" w:hAnsi="Times New Roman"/>
          <w:sz w:val="20"/>
          <w:u w:val="single"/>
        </w:rPr>
        <w:t>Originator</w:t>
      </w:r>
      <w:r>
        <w:rPr>
          <w:rFonts w:ascii="Times New Roman" w:hAnsi="Times New Roman"/>
          <w:sz w:val="20"/>
        </w:rPr>
        <w:t xml:space="preserve">” thereunder. </w:t>
      </w:r>
    </w:p>
    <w:p>
      <w:pPr>
        <w:pStyle w:val="TextBody"/>
        <w:bidi w:val="0"/>
        <w:spacing w:before="240" w:after="0"/>
        <w:jc w:val="left"/>
        <w:rPr/>
      </w:pPr>
      <w:r>
        <w:rPr/>
        <w:t>“</w:t>
      </w:r>
      <w:r>
        <w:rPr>
          <w:rFonts w:ascii="Times New Roman" w:hAnsi="Times New Roman"/>
          <w:sz w:val="20"/>
          <w:u w:val="single"/>
        </w:rPr>
        <w:t>U.S. Person</w:t>
      </w:r>
      <w:r>
        <w:rPr>
          <w:rFonts w:ascii="Times New Roman" w:hAnsi="Times New Roman"/>
          <w:sz w:val="20"/>
        </w:rPr>
        <w:t xml:space="preserve">” means any Person that is a “United States Person” as defined in Section 7701(a)(30) of the Code. </w:t>
      </w:r>
    </w:p>
    <w:p>
      <w:pPr>
        <w:pStyle w:val="TextBody"/>
        <w:bidi w:val="0"/>
        <w:spacing w:before="240" w:after="0"/>
        <w:jc w:val="left"/>
        <w:rPr/>
      </w:pPr>
      <w:r>
        <w:rPr/>
        <w:t>“</w:t>
      </w:r>
      <w:r>
        <w:rPr>
          <w:rFonts w:ascii="Times New Roman" w:hAnsi="Times New Roman"/>
          <w:sz w:val="20"/>
          <w:u w:val="single"/>
        </w:rPr>
        <w:t>U.S. Receivables</w:t>
      </w:r>
      <w:r>
        <w:rPr>
          <w:rFonts w:ascii="Times New Roman" w:hAnsi="Times New Roman"/>
          <w:sz w:val="20"/>
        </w:rPr>
        <w:t xml:space="preserve">” means Receivables acquired pursuant to the U.S. Sale and Contribution Agreement. </w:t>
      </w:r>
    </w:p>
    <w:p>
      <w:pPr>
        <w:pStyle w:val="TextBody"/>
        <w:bidi w:val="0"/>
        <w:spacing w:before="240" w:after="0"/>
        <w:jc w:val="left"/>
        <w:rPr/>
      </w:pPr>
      <w:r>
        <w:rPr/>
        <w:t>“</w:t>
      </w:r>
      <w:r>
        <w:rPr>
          <w:rFonts w:ascii="Times New Roman" w:hAnsi="Times New Roman"/>
          <w:sz w:val="20"/>
          <w:u w:val="single"/>
        </w:rPr>
        <w:t>U.S. Sale and Contribution Agreement</w:t>
      </w:r>
      <w:r>
        <w:rPr>
          <w:rFonts w:ascii="Times New Roman" w:hAnsi="Times New Roman"/>
          <w:sz w:val="20"/>
        </w:rPr>
        <w:t xml:space="preserve">” means the Sale and Contribution Agreement, to be dated on or about the Initial Funding Date, among the U.S. Servicer, the U.S. Originators and the Borrower. </w:t>
      </w:r>
    </w:p>
    <w:p>
      <w:pPr>
        <w:pStyle w:val="TextBody"/>
        <w:bidi w:val="0"/>
        <w:spacing w:before="240" w:after="0"/>
        <w:jc w:val="left"/>
        <w:rPr/>
      </w:pPr>
      <w:r>
        <w:rPr/>
        <w:t>“</w:t>
      </w:r>
      <w:r>
        <w:rPr>
          <w:rFonts w:ascii="Times New Roman" w:hAnsi="Times New Roman"/>
          <w:sz w:val="20"/>
          <w:u w:val="single"/>
        </w:rPr>
        <w:t>U.S. Servicer</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U.S. Tax Compliance Certificate</w:t>
      </w:r>
      <w:r>
        <w:rPr>
          <w:rFonts w:ascii="Times New Roman" w:hAnsi="Times New Roman"/>
          <w:sz w:val="20"/>
        </w:rPr>
        <w:t xml:space="preserve">” has the meaning set forth in </w:t>
      </w:r>
      <w:r>
        <w:rPr>
          <w:rFonts w:ascii="Times New Roman" w:hAnsi="Times New Roman"/>
          <w:sz w:val="20"/>
          <w:u w:val="single"/>
        </w:rPr>
        <w:t>Section 4.03(g)(ii)(2)(III)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U.S.-U.K. Treaty</w:t>
      </w:r>
      <w:r>
        <w:rPr>
          <w:rFonts w:ascii="Times New Roman" w:hAnsi="Times New Roman"/>
          <w:sz w:val="20"/>
        </w:rPr>
        <w:t xml:space="preserve">” means the Convention Between the Government of the United States and the Government of the United Kingdom of Great Britain and Northern Ireland for the Avoidance of Double Taxation and the Prevention of Fiscal Evasion With Respect to Taxes on Income and on Capital Gains, signed July 24, 2001, as amended from time to time. </w:t>
      </w:r>
    </w:p>
    <w:p>
      <w:pPr>
        <w:pStyle w:val="TextBody"/>
        <w:bidi w:val="0"/>
        <w:spacing w:before="240" w:after="0"/>
        <w:jc w:val="left"/>
        <w:rPr/>
      </w:pPr>
      <w:r>
        <w:rPr/>
        <w:t>“</w:t>
      </w:r>
      <w:r>
        <w:rPr>
          <w:rFonts w:ascii="Times New Roman" w:hAnsi="Times New Roman"/>
          <w:sz w:val="20"/>
          <w:u w:val="single"/>
        </w:rPr>
        <w:t>VaR Percentage</w:t>
      </w:r>
      <w:r>
        <w:rPr>
          <w:rFonts w:ascii="Times New Roman" w:hAnsi="Times New Roman"/>
          <w:sz w:val="20"/>
        </w:rPr>
        <w:t xml:space="preserve">” means, with respect to any Alternative Currency (a) the applicable percentage for such Alternative Currency in the table below or (b) such other value-at-risk percentage with respect to such Alternative Currency reasonably determined by the Administrative Agent and designated by the Administrative Agent from time to time upon five (5) Business Days’ prior notice to the Borrower: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398"/>
        <w:gridCol w:w="575"/>
        <w:gridCol w:w="163"/>
        <w:gridCol w:w="1525"/>
        <w:gridCol w:w="278"/>
      </w:tblGrid>
      <w:tr>
        <w:trPr/>
        <w:tc>
          <w:tcPr>
            <w:tcW w:w="4398" w:type="dxa"/>
            <w:tcBorders/>
            <w:vAlign w:val="center"/>
          </w:tcPr>
          <w:p>
            <w:pPr>
              <w:pStyle w:val="TableContents"/>
              <w:bidi w:val="0"/>
              <w:spacing w:before="0" w:after="283"/>
              <w:jc w:val="left"/>
              <w:rPr>
                <w:sz w:val="4"/>
                <w:szCs w:val="4"/>
              </w:rPr>
            </w:pPr>
            <w:r>
              <w:rPr>
                <w:sz w:val="4"/>
                <w:szCs w:val="4"/>
              </w:rPr>
            </w:r>
          </w:p>
        </w:tc>
        <w:tc>
          <w:tcPr>
            <w:tcW w:w="575"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439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Alternative Currency</w:t>
            </w:r>
          </w:p>
        </w:tc>
        <w:tc>
          <w:tcPr>
            <w:tcW w:w="575" w:type="dxa"/>
            <w:tcBorders/>
            <w:vAlign w:val="bottom"/>
          </w:tcPr>
          <w:p>
            <w:pPr>
              <w:pStyle w:val="TableContents"/>
              <w:bidi w:val="0"/>
              <w:spacing w:before="0" w:after="283"/>
              <w:jc w:val="left"/>
              <w:rPr/>
            </w:pPr>
            <w:r>
              <w:rPr/>
              <w:t>  </w:t>
            </w:r>
          </w:p>
        </w:tc>
        <w:tc>
          <w:tcPr>
            <w:tcW w:w="16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 Percentage</w:t>
            </w:r>
          </w:p>
        </w:tc>
        <w:tc>
          <w:tcPr>
            <w:tcW w:w="278" w:type="dxa"/>
            <w:tcBorders/>
            <w:vAlign w:val="bottom"/>
          </w:tcPr>
          <w:p>
            <w:pPr>
              <w:pStyle w:val="TableContents"/>
              <w:bidi w:val="0"/>
              <w:spacing w:before="0" w:after="283"/>
              <w:jc w:val="left"/>
              <w:rPr/>
            </w:pPr>
            <w:r>
              <w:rPr/>
              <w:t> </w:t>
            </w:r>
          </w:p>
        </w:tc>
      </w:tr>
      <w:tr>
        <w:trPr/>
        <w:tc>
          <w:tcPr>
            <w:tcW w:w="43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Australian Dollars</w:t>
            </w:r>
          </w:p>
        </w:tc>
        <w:tc>
          <w:tcPr>
            <w:tcW w:w="57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bidi w:val="0"/>
              <w:spacing w:before="0" w:after="283"/>
              <w:jc w:val="right"/>
              <w:rPr/>
            </w:pPr>
            <w:r>
              <w:rPr/>
              <w:t>10.50</w:t>
            </w:r>
          </w:p>
        </w:tc>
        <w:tc>
          <w:tcPr>
            <w:tcW w:w="278" w:type="dxa"/>
            <w:tcBorders/>
            <w:shd w:fill="CCEEFF" w:val="clear"/>
            <w:vAlign w:val="bottom"/>
          </w:tcPr>
          <w:p>
            <w:pPr>
              <w:pStyle w:val="TableContents"/>
              <w:bidi w:val="0"/>
              <w:spacing w:before="0" w:after="283"/>
              <w:jc w:val="left"/>
              <w:rPr/>
            </w:pPr>
            <w:r>
              <w:rPr/>
              <w:t>% </w:t>
            </w:r>
          </w:p>
        </w:tc>
      </w:tr>
      <w:tr>
        <w:trPr/>
        <w:tc>
          <w:tcPr>
            <w:tcW w:w="4398" w:type="dxa"/>
            <w:tcBorders/>
          </w:tcPr>
          <w:p>
            <w:pPr>
              <w:pStyle w:val="TableContents"/>
              <w:bidi w:val="0"/>
              <w:spacing w:before="0" w:after="0"/>
              <w:jc w:val="left"/>
              <w:rPr>
                <w:rFonts w:ascii="Times New Roman" w:hAnsi="Times New Roman"/>
                <w:sz w:val="20"/>
              </w:rPr>
            </w:pPr>
            <w:r>
              <w:rPr>
                <w:rFonts w:ascii="Times New Roman" w:hAnsi="Times New Roman"/>
                <w:sz w:val="20"/>
              </w:rPr>
              <w:t>Canadian Dollars</w:t>
            </w:r>
          </w:p>
        </w:tc>
        <w:tc>
          <w:tcPr>
            <w:tcW w:w="57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7.00</w:t>
            </w:r>
          </w:p>
        </w:tc>
        <w:tc>
          <w:tcPr>
            <w:tcW w:w="278" w:type="dxa"/>
            <w:tcBorders/>
            <w:vAlign w:val="bottom"/>
          </w:tcPr>
          <w:p>
            <w:pPr>
              <w:pStyle w:val="TableContents"/>
              <w:bidi w:val="0"/>
              <w:spacing w:before="0" w:after="283"/>
              <w:jc w:val="left"/>
              <w:rPr/>
            </w:pPr>
            <w:r>
              <w:rPr/>
              <w:t>% </w:t>
            </w:r>
          </w:p>
        </w:tc>
      </w:tr>
      <w:tr>
        <w:trPr/>
        <w:tc>
          <w:tcPr>
            <w:tcW w:w="43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Euro</w:t>
            </w:r>
          </w:p>
        </w:tc>
        <w:tc>
          <w:tcPr>
            <w:tcW w:w="57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bidi w:val="0"/>
              <w:spacing w:before="0" w:after="283"/>
              <w:jc w:val="right"/>
              <w:rPr/>
            </w:pPr>
            <w:r>
              <w:rPr/>
              <w:t>7.50</w:t>
            </w:r>
          </w:p>
        </w:tc>
        <w:tc>
          <w:tcPr>
            <w:tcW w:w="278" w:type="dxa"/>
            <w:tcBorders/>
            <w:shd w:fill="CCEEFF" w:val="clear"/>
            <w:vAlign w:val="bottom"/>
          </w:tcPr>
          <w:p>
            <w:pPr>
              <w:pStyle w:val="TableContents"/>
              <w:bidi w:val="0"/>
              <w:spacing w:before="0" w:after="283"/>
              <w:jc w:val="left"/>
              <w:rPr/>
            </w:pPr>
            <w:r>
              <w:rPr/>
              <w:t>% </w:t>
            </w:r>
          </w:p>
        </w:tc>
      </w:tr>
      <w:tr>
        <w:trPr/>
        <w:tc>
          <w:tcPr>
            <w:tcW w:w="4398" w:type="dxa"/>
            <w:tcBorders/>
          </w:tcPr>
          <w:p>
            <w:pPr>
              <w:pStyle w:val="TableContents"/>
              <w:bidi w:val="0"/>
              <w:spacing w:before="0" w:after="0"/>
              <w:jc w:val="left"/>
              <w:rPr>
                <w:rFonts w:ascii="Times New Roman" w:hAnsi="Times New Roman"/>
                <w:sz w:val="20"/>
              </w:rPr>
            </w:pPr>
            <w:r>
              <w:rPr>
                <w:rFonts w:ascii="Times New Roman" w:hAnsi="Times New Roman"/>
                <w:sz w:val="20"/>
              </w:rPr>
              <w:t>Sterling</w:t>
            </w:r>
          </w:p>
        </w:tc>
        <w:tc>
          <w:tcPr>
            <w:tcW w:w="57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9.00</w:t>
            </w:r>
          </w:p>
        </w:tc>
        <w:tc>
          <w:tcPr>
            <w:tcW w:w="278" w:type="dxa"/>
            <w:tcBorders/>
            <w:vAlign w:val="bottom"/>
          </w:tcPr>
          <w:p>
            <w:pPr>
              <w:pStyle w:val="TableContents"/>
              <w:bidi w:val="0"/>
              <w:spacing w:before="0" w:after="283"/>
              <w:jc w:val="left"/>
              <w:rPr/>
            </w:pPr>
            <w:r>
              <w:rPr/>
              <w:t>% </w:t>
            </w:r>
          </w:p>
        </w:tc>
      </w:tr>
      <w:tr>
        <w:trPr/>
        <w:tc>
          <w:tcPr>
            <w:tcW w:w="43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Swedish Krona</w:t>
            </w:r>
          </w:p>
        </w:tc>
        <w:tc>
          <w:tcPr>
            <w:tcW w:w="57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bidi w:val="0"/>
              <w:spacing w:before="0" w:after="283"/>
              <w:jc w:val="right"/>
              <w:rPr/>
            </w:pPr>
            <w:r>
              <w:rPr/>
              <w:t>11.00</w:t>
            </w:r>
          </w:p>
        </w:tc>
        <w:tc>
          <w:tcPr>
            <w:tcW w:w="27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pPr>
      <w:r>
        <w:rPr/>
        <w:t>“</w:t>
      </w:r>
      <w:r>
        <w:rPr>
          <w:rFonts w:ascii="Times New Roman" w:hAnsi="Times New Roman"/>
          <w:sz w:val="20"/>
          <w:u w:val="single"/>
        </w:rPr>
        <w:t>VAT</w:t>
      </w:r>
      <w:r>
        <w:rPr>
          <w:rFonts w:ascii="Times New Roman" w:hAnsi="Times New Roman"/>
          <w:sz w:val="20"/>
        </w:rPr>
        <w:t xml:space="preserve">” means (i) any value added tax imposed by the Value Added Tax Act 1994 in the United Kingdom; (ii) any tax imposed in compliance with the Council Directive of 28 November 2006 on the common system of value added tax (EC Directive 2006/112); </w:t>
      </w:r>
      <w:r>
        <w:rPr>
          <w:rFonts w:ascii="Times New Roman" w:hAnsi="Times New Roman"/>
          <w:strike/>
          <w:color w:val="FF0000"/>
          <w:sz w:val="20"/>
        </w:rPr>
        <w:t xml:space="preserve">and </w:t>
      </w:r>
      <w:r>
        <w:rPr>
          <w:rFonts w:ascii="Times New Roman" w:hAnsi="Times New Roman"/>
          <w:sz w:val="20"/>
        </w:rPr>
        <w:t xml:space="preserve">(iii) any other tax of a similar nature, whether imposed in the United Kingdom or in a member state of the European Union in substitution for, or levied in addition to, such tax referred to in </w:t>
      </w:r>
      <w:r>
        <w:rPr>
          <w:rFonts w:ascii="Times New Roman" w:hAnsi="Times New Roman"/>
          <w:sz w:val="20"/>
          <w:u w:val="single"/>
        </w:rPr>
        <w:t>clauses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above, or imposed elsewhere</w:t>
      </w:r>
      <w:r>
        <w:rPr>
          <w:rFonts w:ascii="Times New Roman" w:hAnsi="Times New Roman"/>
          <w:color w:val="0000FF"/>
          <w:sz w:val="20"/>
          <w:u w:val="single"/>
          <w:bdr w:val="double" w:sz="2" w:space="1" w:color="000000"/>
        </w:rPr>
        <w:t>, and (iv) any goods and services tax imposed by the Goods and Services Tax Act 1993 of Singapore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Volcker Rule</w:t>
      </w:r>
      <w:r>
        <w:rPr>
          <w:rFonts w:ascii="Times New Roman" w:hAnsi="Times New Roman"/>
          <w:sz w:val="20"/>
        </w:rPr>
        <w:t xml:space="preserve">” means Section 13 of the U.S. Bank Holding Company Act of 1956 and the applicable rules and regulations thereunder. </w:t>
      </w:r>
    </w:p>
    <w:p>
      <w:pPr>
        <w:pStyle w:val="TextBody"/>
        <w:bidi w:val="0"/>
        <w:spacing w:before="240" w:after="0"/>
        <w:jc w:val="left"/>
        <w:rPr/>
      </w:pPr>
      <w:r>
        <w:rPr/>
        <w:t>“</w:t>
      </w:r>
      <w:r>
        <w:rPr>
          <w:rFonts w:ascii="Times New Roman" w:hAnsi="Times New Roman"/>
          <w:sz w:val="20"/>
          <w:u w:val="single"/>
        </w:rPr>
        <w:t>WACT</w:t>
      </w:r>
      <w:r>
        <w:rPr>
          <w:rFonts w:ascii="Times New Roman" w:hAnsi="Times New Roman"/>
          <w:sz w:val="20"/>
        </w:rPr>
        <w:t xml:space="preserve">” means for any Fiscal Month, the weighted average (weighted based on the Dollar Equivalent of the Outstanding Balance) payment terms (computed in days and calculated based on the difference between the original invoice date and the stated due date for payment) of invoices for all Eligible Receivables then in the Receivables Pool as of the last day of such Fiscal Month. </w:t>
      </w:r>
    </w:p>
    <w:p>
      <w:pPr>
        <w:pStyle w:val="TextBody"/>
        <w:bidi w:val="0"/>
        <w:spacing w:before="240" w:after="0"/>
        <w:jc w:val="left"/>
        <w:rPr/>
      </w:pPr>
      <w:r>
        <w:rPr/>
        <w:t>“</w:t>
      </w:r>
      <w:r>
        <w:rPr>
          <w:rFonts w:ascii="Times New Roman" w:hAnsi="Times New Roman"/>
          <w:sz w:val="20"/>
          <w:u w:val="single"/>
        </w:rPr>
        <w:t>Weekly Report</w:t>
      </w:r>
      <w:r>
        <w:rPr>
          <w:rFonts w:ascii="Times New Roman" w:hAnsi="Times New Roman"/>
          <w:sz w:val="20"/>
        </w:rPr>
        <w:t xml:space="preserve">” means a report regarding the Pool Receivables and the transactions contemplated hereby, substantially in the form of </w:t>
      </w:r>
      <w:r>
        <w:rPr>
          <w:rFonts w:ascii="Times New Roman" w:hAnsi="Times New Roman"/>
          <w:sz w:val="20"/>
          <w:u w:val="single"/>
        </w:rPr>
        <w:t>Exhibit E-2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Weekly Reporting Date</w:t>
      </w:r>
      <w:r>
        <w:rPr>
          <w:rFonts w:ascii="Times New Roman" w:hAnsi="Times New Roman"/>
          <w:sz w:val="20"/>
        </w:rPr>
        <w:t xml:space="preserve">” means the second Business Day of each calendar week occurring during a Weekly Reporting Period. </w:t>
      </w:r>
    </w:p>
    <w:p>
      <w:pPr>
        <w:pStyle w:val="TextBody"/>
        <w:bidi w:val="0"/>
        <w:spacing w:before="240" w:after="0"/>
        <w:jc w:val="left"/>
        <w:rPr/>
      </w:pPr>
      <w:r>
        <w:rPr/>
        <w:t>“</w:t>
      </w:r>
      <w:r>
        <w:rPr>
          <w:rFonts w:ascii="Times New Roman" w:hAnsi="Times New Roman"/>
          <w:sz w:val="20"/>
          <w:u w:val="single"/>
        </w:rPr>
        <w:t>Weekly Reporting Period</w:t>
      </w:r>
      <w:r>
        <w:rPr>
          <w:rFonts w:ascii="Times New Roman" w:hAnsi="Times New Roman"/>
          <w:sz w:val="20"/>
        </w:rPr>
        <w:t xml:space="preserve">” means the period (i) beginning on the fifth (5th ) Business Day after the date, if any, on which the Administrative Agent delivers a notice in writing to the Servicers that it is then requiring the delivery of Weekly Reports hereunder; provided, that no such notice shall be delivered if neither a Level I Leverage Period nor Material Travel Event Disruption Period is then continuing, and (ii) ending on the date on which none of any Level I Leverage Period nor Material Travel Event Disruption Period is then continuing or the Administrative Agent (acting in its sole discretion) otherwise delivers a notice in writing to the Servicer that it is no longer requiring the delivery of Weekly Reports. As of the Closing Date, a Weekly Reporting Period is continuing. </w:t>
      </w:r>
    </w:p>
    <w:p>
      <w:pPr>
        <w:pStyle w:val="TextBody"/>
        <w:bidi w:val="0"/>
        <w:spacing w:before="240" w:after="0"/>
        <w:jc w:val="left"/>
        <w:rPr/>
      </w:pPr>
      <w:r>
        <w:rPr/>
        <w:t>“</w:t>
      </w:r>
      <w:r>
        <w:rPr>
          <w:rFonts w:ascii="Times New Roman" w:hAnsi="Times New Roman"/>
          <w:sz w:val="20"/>
          <w:u w:val="single"/>
        </w:rPr>
        <w:t>Withholding Agent</w:t>
      </w:r>
      <w:r>
        <w:rPr>
          <w:rFonts w:ascii="Times New Roman" w:hAnsi="Times New Roman"/>
          <w:sz w:val="20"/>
        </w:rPr>
        <w:t xml:space="preserve">” means any Borrower-Related Party and the Administrative Agent. </w:t>
      </w:r>
    </w:p>
    <w:p>
      <w:pPr>
        <w:pStyle w:val="TextBody"/>
        <w:bidi w:val="0"/>
        <w:spacing w:before="240" w:after="0"/>
        <w:jc w:val="left"/>
        <w:rPr/>
      </w:pPr>
      <w:r>
        <w:rPr/>
        <w:t>“</w:t>
      </w:r>
      <w:r>
        <w:rPr>
          <w:rFonts w:ascii="Times New Roman" w:hAnsi="Times New Roman"/>
          <w:sz w:val="20"/>
          <w:u w:val="single"/>
        </w:rPr>
        <w:t>Write-down and Conversion Powers</w:t>
      </w:r>
      <w:r>
        <w:rPr>
          <w:rFonts w:ascii="Times New Roman" w:hAnsi="Times New Roman"/>
          <w:sz w:val="20"/>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before="240" w:after="0"/>
        <w:jc w:val="left"/>
        <w:rPr/>
      </w:pPr>
      <w:r>
        <w:rPr/>
        <w:t>“</w:t>
      </w:r>
      <w:r>
        <w:rPr>
          <w:rFonts w:ascii="Times New Roman" w:hAnsi="Times New Roman"/>
          <w:sz w:val="20"/>
          <w:u w:val="single"/>
        </w:rPr>
        <w:t>Yield Reserve Percentage</w:t>
      </w:r>
      <w:r>
        <w:rPr>
          <w:rFonts w:ascii="Times New Roman" w:hAnsi="Times New Roman"/>
          <w:sz w:val="20"/>
        </w:rPr>
        <w:t xml:space="preserve">” means at any time: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1.50 x DSO x (BR + SFR) </w:t>
      </w:r>
    </w:p>
    <w:p>
      <w:pPr>
        <w:pStyle w:val="TextBody"/>
        <w:bidi w:val="0"/>
        <w:spacing w:before="0" w:after="0"/>
        <w:jc w:val="center"/>
        <w:rPr>
          <w:rFonts w:ascii="Times New Roman" w:hAnsi="Times New Roman"/>
          <w:sz w:val="20"/>
        </w:rPr>
      </w:pPr>
      <w:r>
        <w:rPr>
          <w:rFonts w:ascii="Times New Roman" w:hAnsi="Times New Roman"/>
          <w:sz w:val="20"/>
        </w:rPr>
        <w:t xml:space="preserve">360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4700" w:type="pct"/>
        <w:jc w:val="right"/>
        <w:tblInd w:w="0" w:type="dxa"/>
        <w:tblLayout w:type="fixed"/>
        <w:tblCellMar>
          <w:top w:w="0" w:type="dxa"/>
          <w:left w:w="0" w:type="dxa"/>
          <w:bottom w:w="0" w:type="dxa"/>
          <w:right w:w="0" w:type="dxa"/>
        </w:tblCellMar>
      </w:tblPr>
      <w:tblGrid>
        <w:gridCol w:w="581"/>
        <w:gridCol w:w="141"/>
        <w:gridCol w:w="157"/>
        <w:gridCol w:w="141"/>
        <w:gridCol w:w="8572"/>
      </w:tblGrid>
      <w:tr>
        <w:trPr/>
        <w:tc>
          <w:tcPr>
            <w:tcW w:w="581"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8572" w:type="dxa"/>
            <w:tcBorders/>
            <w:vAlign w:val="center"/>
          </w:tcPr>
          <w:p>
            <w:pPr>
              <w:pStyle w:val="TableContents"/>
              <w:bidi w:val="0"/>
              <w:spacing w:before="0" w:after="283"/>
              <w:jc w:val="left"/>
              <w:rPr>
                <w:sz w:val="4"/>
                <w:szCs w:val="4"/>
              </w:rPr>
            </w:pPr>
            <w:r>
              <w:rPr>
                <w:sz w:val="4"/>
                <w:szCs w:val="4"/>
              </w:rPr>
            </w:r>
          </w:p>
        </w:tc>
      </w:tr>
      <w:tr>
        <w:trPr/>
        <w:tc>
          <w:tcPr>
            <w:tcW w:w="581" w:type="dxa"/>
            <w:tcBorders/>
          </w:tcPr>
          <w:p>
            <w:pPr>
              <w:pStyle w:val="TableContents"/>
              <w:bidi w:val="0"/>
              <w:spacing w:before="0" w:after="283"/>
              <w:jc w:val="left"/>
              <w:rPr/>
            </w:pPr>
            <w:r>
              <w:rPr/>
              <w:t>BR</w:t>
            </w:r>
          </w:p>
        </w:tc>
        <w:tc>
          <w:tcPr>
            <w:tcW w:w="141" w:type="dxa"/>
            <w:tcBorders/>
            <w:vAlign w:val="bottom"/>
          </w:tcPr>
          <w:p>
            <w:pPr>
              <w:pStyle w:val="TableContents"/>
              <w:bidi w:val="0"/>
              <w:spacing w:before="0" w:after="283"/>
              <w:jc w:val="left"/>
              <w:rPr/>
            </w:pPr>
            <w:r>
              <w:rPr/>
              <w:t>  </w:t>
            </w:r>
          </w:p>
        </w:tc>
        <w:tc>
          <w:tcPr>
            <w:tcW w:w="157" w:type="dxa"/>
            <w:tcBorders/>
          </w:tcPr>
          <w:p>
            <w:pPr>
              <w:pStyle w:val="TableContents"/>
              <w:bidi w:val="0"/>
              <w:spacing w:before="0" w:after="283"/>
              <w:jc w:val="left"/>
              <w:rPr/>
            </w:pPr>
            <w:r>
              <w:rPr/>
              <w:t>=</w:t>
            </w:r>
          </w:p>
        </w:tc>
        <w:tc>
          <w:tcPr>
            <w:tcW w:w="141" w:type="dxa"/>
            <w:tcBorders/>
            <w:vAlign w:val="bottom"/>
          </w:tcPr>
          <w:p>
            <w:pPr>
              <w:pStyle w:val="TableContents"/>
              <w:bidi w:val="0"/>
              <w:spacing w:before="0" w:after="283"/>
              <w:jc w:val="left"/>
              <w:rPr/>
            </w:pPr>
            <w:r>
              <w:rPr/>
              <w:t>  </w:t>
            </w:r>
          </w:p>
        </w:tc>
        <w:tc>
          <w:tcPr>
            <w:tcW w:w="8572" w:type="dxa"/>
            <w:tcBorders/>
          </w:tcPr>
          <w:p>
            <w:pPr>
              <w:pStyle w:val="TableContents"/>
              <w:bidi w:val="0"/>
              <w:spacing w:before="0" w:after="283"/>
              <w:jc w:val="left"/>
              <w:rPr/>
            </w:pPr>
            <w:r>
              <w:rPr/>
              <w:t>the Base Rate at such time;</w:t>
            </w:r>
          </w:p>
        </w:tc>
      </w:tr>
      <w:tr>
        <w:trPr>
          <w:trHeight w:val="120" w:hRule="atLeast"/>
        </w:trPr>
        <w:tc>
          <w:tcPr>
            <w:tcW w:w="581" w:type="dxa"/>
            <w:tcBorders/>
            <w:vAlign w:val="center"/>
          </w:tcPr>
          <w:p>
            <w:pPr>
              <w:pStyle w:val="TableContents"/>
              <w:bidi w:val="0"/>
              <w:spacing w:before="0" w:after="283"/>
              <w:jc w:val="left"/>
              <w:rPr>
                <w:sz w:val="4"/>
                <w:szCs w:val="4"/>
              </w:rPr>
            </w:pPr>
            <w:r>
              <w:rPr>
                <w:sz w:val="4"/>
                <w:szCs w:val="4"/>
              </w:rPr>
            </w:r>
          </w:p>
        </w:tc>
        <w:tc>
          <w:tcPr>
            <w:tcW w:w="298" w:type="dxa"/>
            <w:gridSpan w:val="2"/>
            <w:tcBorders/>
            <w:vAlign w:val="center"/>
          </w:tcPr>
          <w:p>
            <w:pPr>
              <w:pStyle w:val="TableContents"/>
              <w:bidi w:val="0"/>
              <w:spacing w:before="0" w:after="283"/>
              <w:jc w:val="left"/>
              <w:rPr>
                <w:sz w:val="4"/>
                <w:szCs w:val="4"/>
              </w:rPr>
            </w:pPr>
            <w:r>
              <w:rPr>
                <w:sz w:val="4"/>
                <w:szCs w:val="4"/>
              </w:rPr>
            </w:r>
          </w:p>
        </w:tc>
        <w:tc>
          <w:tcPr>
            <w:tcW w:w="8713" w:type="dxa"/>
            <w:gridSpan w:val="2"/>
            <w:tcBorders/>
            <w:vAlign w:val="center"/>
          </w:tcPr>
          <w:p>
            <w:pPr>
              <w:pStyle w:val="TableContents"/>
              <w:bidi w:val="0"/>
              <w:spacing w:before="0" w:after="283"/>
              <w:jc w:val="left"/>
              <w:rPr>
                <w:sz w:val="4"/>
                <w:szCs w:val="4"/>
              </w:rPr>
            </w:pPr>
            <w:r>
              <w:rPr>
                <w:sz w:val="4"/>
                <w:szCs w:val="4"/>
              </w:rPr>
            </w:r>
          </w:p>
        </w:tc>
      </w:tr>
      <w:tr>
        <w:trPr/>
        <w:tc>
          <w:tcPr>
            <w:tcW w:w="581" w:type="dxa"/>
            <w:tcBorders/>
          </w:tcPr>
          <w:p>
            <w:pPr>
              <w:pStyle w:val="TableContents"/>
              <w:bidi w:val="0"/>
              <w:spacing w:before="0" w:after="283"/>
              <w:jc w:val="left"/>
              <w:rPr/>
            </w:pPr>
            <w:r>
              <w:rPr/>
              <w:t>DSO</w:t>
            </w:r>
          </w:p>
        </w:tc>
        <w:tc>
          <w:tcPr>
            <w:tcW w:w="141" w:type="dxa"/>
            <w:tcBorders/>
            <w:vAlign w:val="bottom"/>
          </w:tcPr>
          <w:p>
            <w:pPr>
              <w:pStyle w:val="TableContents"/>
              <w:bidi w:val="0"/>
              <w:spacing w:before="0" w:after="283"/>
              <w:jc w:val="left"/>
              <w:rPr/>
            </w:pPr>
            <w:r>
              <w:rPr/>
              <w:t>  </w:t>
            </w:r>
          </w:p>
        </w:tc>
        <w:tc>
          <w:tcPr>
            <w:tcW w:w="157" w:type="dxa"/>
            <w:tcBorders/>
          </w:tcPr>
          <w:p>
            <w:pPr>
              <w:pStyle w:val="TableContents"/>
              <w:bidi w:val="0"/>
              <w:spacing w:before="0" w:after="283"/>
              <w:jc w:val="left"/>
              <w:rPr/>
            </w:pPr>
            <w:r>
              <w:rPr/>
              <w:t>=</w:t>
            </w:r>
          </w:p>
        </w:tc>
        <w:tc>
          <w:tcPr>
            <w:tcW w:w="141" w:type="dxa"/>
            <w:tcBorders/>
            <w:vAlign w:val="bottom"/>
          </w:tcPr>
          <w:p>
            <w:pPr>
              <w:pStyle w:val="TableContents"/>
              <w:bidi w:val="0"/>
              <w:spacing w:before="0" w:after="283"/>
              <w:jc w:val="left"/>
              <w:rPr/>
            </w:pPr>
            <w:r>
              <w:rPr/>
              <w:t>  </w:t>
            </w:r>
          </w:p>
        </w:tc>
        <w:tc>
          <w:tcPr>
            <w:tcW w:w="8572" w:type="dxa"/>
            <w:tcBorders/>
          </w:tcPr>
          <w:p>
            <w:pPr>
              <w:pStyle w:val="TableContents"/>
              <w:bidi w:val="0"/>
              <w:spacing w:before="0" w:after="283"/>
              <w:jc w:val="left"/>
              <w:rPr/>
            </w:pPr>
            <w:r>
              <w:rPr/>
              <w:t>the Days’ Sales Outstanding for the most recently ended Fiscal Month; and</w:t>
            </w:r>
          </w:p>
        </w:tc>
      </w:tr>
      <w:tr>
        <w:trPr>
          <w:trHeight w:val="120" w:hRule="atLeast"/>
        </w:trPr>
        <w:tc>
          <w:tcPr>
            <w:tcW w:w="581" w:type="dxa"/>
            <w:tcBorders/>
            <w:vAlign w:val="center"/>
          </w:tcPr>
          <w:p>
            <w:pPr>
              <w:pStyle w:val="TableContents"/>
              <w:bidi w:val="0"/>
              <w:spacing w:before="0" w:after="283"/>
              <w:jc w:val="left"/>
              <w:rPr>
                <w:sz w:val="4"/>
                <w:szCs w:val="4"/>
              </w:rPr>
            </w:pPr>
            <w:r>
              <w:rPr>
                <w:sz w:val="4"/>
                <w:szCs w:val="4"/>
              </w:rPr>
            </w:r>
          </w:p>
        </w:tc>
        <w:tc>
          <w:tcPr>
            <w:tcW w:w="298" w:type="dxa"/>
            <w:gridSpan w:val="2"/>
            <w:tcBorders/>
            <w:vAlign w:val="center"/>
          </w:tcPr>
          <w:p>
            <w:pPr>
              <w:pStyle w:val="TableContents"/>
              <w:bidi w:val="0"/>
              <w:spacing w:before="0" w:after="283"/>
              <w:jc w:val="left"/>
              <w:rPr>
                <w:sz w:val="4"/>
                <w:szCs w:val="4"/>
              </w:rPr>
            </w:pPr>
            <w:r>
              <w:rPr>
                <w:sz w:val="4"/>
                <w:szCs w:val="4"/>
              </w:rPr>
            </w:r>
          </w:p>
        </w:tc>
        <w:tc>
          <w:tcPr>
            <w:tcW w:w="8713" w:type="dxa"/>
            <w:gridSpan w:val="2"/>
            <w:tcBorders/>
            <w:vAlign w:val="center"/>
          </w:tcPr>
          <w:p>
            <w:pPr>
              <w:pStyle w:val="TableContents"/>
              <w:bidi w:val="0"/>
              <w:spacing w:before="0" w:after="283"/>
              <w:jc w:val="left"/>
              <w:rPr>
                <w:sz w:val="4"/>
                <w:szCs w:val="4"/>
              </w:rPr>
            </w:pPr>
            <w:r>
              <w:rPr>
                <w:sz w:val="4"/>
                <w:szCs w:val="4"/>
              </w:rPr>
            </w:r>
          </w:p>
        </w:tc>
      </w:tr>
      <w:tr>
        <w:trPr/>
        <w:tc>
          <w:tcPr>
            <w:tcW w:w="581" w:type="dxa"/>
            <w:tcBorders/>
          </w:tcPr>
          <w:p>
            <w:pPr>
              <w:pStyle w:val="TableContents"/>
              <w:bidi w:val="0"/>
              <w:spacing w:before="0" w:after="283"/>
              <w:jc w:val="left"/>
              <w:rPr/>
            </w:pPr>
            <w:r>
              <w:rPr/>
              <w:t>SFR</w:t>
            </w:r>
          </w:p>
        </w:tc>
        <w:tc>
          <w:tcPr>
            <w:tcW w:w="141" w:type="dxa"/>
            <w:tcBorders/>
            <w:vAlign w:val="bottom"/>
          </w:tcPr>
          <w:p>
            <w:pPr>
              <w:pStyle w:val="TableContents"/>
              <w:bidi w:val="0"/>
              <w:spacing w:before="0" w:after="283"/>
              <w:jc w:val="left"/>
              <w:rPr/>
            </w:pPr>
            <w:r>
              <w:rPr/>
              <w:t>  </w:t>
            </w:r>
          </w:p>
        </w:tc>
        <w:tc>
          <w:tcPr>
            <w:tcW w:w="157" w:type="dxa"/>
            <w:tcBorders/>
          </w:tcPr>
          <w:p>
            <w:pPr>
              <w:pStyle w:val="TableContents"/>
              <w:bidi w:val="0"/>
              <w:spacing w:before="0" w:after="283"/>
              <w:jc w:val="left"/>
              <w:rPr/>
            </w:pPr>
            <w:r>
              <w:rPr/>
              <w:t>=</w:t>
            </w:r>
          </w:p>
        </w:tc>
        <w:tc>
          <w:tcPr>
            <w:tcW w:w="141" w:type="dxa"/>
            <w:tcBorders/>
            <w:vAlign w:val="bottom"/>
          </w:tcPr>
          <w:p>
            <w:pPr>
              <w:pStyle w:val="TableContents"/>
              <w:bidi w:val="0"/>
              <w:spacing w:before="0" w:after="283"/>
              <w:jc w:val="left"/>
              <w:rPr/>
            </w:pPr>
            <w:r>
              <w:rPr/>
              <w:t>  </w:t>
            </w:r>
          </w:p>
        </w:tc>
        <w:tc>
          <w:tcPr>
            <w:tcW w:w="8572" w:type="dxa"/>
            <w:tcBorders/>
          </w:tcPr>
          <w:p>
            <w:pPr>
              <w:pStyle w:val="TableContents"/>
              <w:bidi w:val="0"/>
              <w:spacing w:before="0" w:after="283"/>
              <w:jc w:val="left"/>
              <w:rPr/>
            </w:pPr>
            <w:r>
              <w:rPr/>
              <w:t>the greater of (x) 1.00% and (y) the Servicing Fee Rate in effect at such time.</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b/>
          <w:sz w:val="20"/>
          <w:u w:val="single"/>
        </w:rPr>
        <w:t>Construction</w:t>
      </w:r>
      <w:r>
        <w:rPr>
          <w:rFonts w:ascii="Times New Roman" w:hAnsi="Times New Roman"/>
          <w:sz w:val="20"/>
        </w:rPr>
        <w:t xml:space="preserve">. Unless the context of this Agreement otherwise clearly requires, the following rules of construction shall apply to this Agreement and each of the other Transaction Documents: (a) references to the plural include the singular, the plural, the part and the whole and the words “include,” “includes” and “including” shall be deemed to be followed by the phrase “without limitation”; (b) the word “will” shall be construed to have the same meaning and effect as the word “shall”; (c) the words “hereof,” “herein,” “hereunder,” “hereto” and similar terms in this Agreement or any other Transaction Document refer to this Agreement or such other Transaction Document as a whole; (d) article, section, subsection, clause, schedule and exhibit references are to this Agreement or other Transaction Document, as the case may be, unless otherwise specified; (e) reference to any Person includes such Person’s successors and assigns; (f) reference to this Agreement or any other Transaction Document, means this Agreement or such other Transaction Document, together with the schedules and exhibits hereto or thereto, as amended, modified, replaced, substituted for, superseded or restated from time to time (subject to any restrictions thereon specified in this Agreement or the other applicable Transaction Document); (g) relative to the determination of any period of time, “from” means “from and including,” “to” means “to but excluding,” and “through” means “through and including”; (h) any reference to any law or regulation herein shall, unless otherwise specified, refer to such law or regulation as amended, modified or supplemented from time to time; (i) the words “asset” and “property” shall be construed to have the same meaning and effect and to refer to any and all tangible and intangible assets and properties, including cash, securities, accounts and contract rights; (j) whenever the context may require, any pronoun shall include the corresponding masculine, feminine and neuter forms; (k) section headings herein and in each other Transaction Document are included for convenience and shall not affect the interpretation of this Agreement or such Transaction Document; and (l) unless otherwise specified, all references herein to times of day shall constitute references to Eastern Time.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b/>
          <w:sz w:val="20"/>
          <w:u w:val="single"/>
        </w:rPr>
        <w:t>Accounting Principles; Changes in GAAP</w:t>
      </w:r>
      <w:r>
        <w:rPr>
          <w:rFonts w:ascii="Times New Roman" w:hAnsi="Times New Roman"/>
          <w:sz w:val="20"/>
        </w:rPr>
        <w:t xml:space="preserve">. Except as otherwise provided in this Agreement, all computations and determinations as to accounting or financial matters and all financial statements to be delivered pursuant to this Agreement shall be made and prepared in accordance with GAAP (including principles of consolidation where appropriate), and all accounting or financial terms shall have the meanings ascribed to such terms by GAAP as in effect on the Closing Date applied on a basis consistent with those used in preparing the Statements referred to in </w:t>
      </w:r>
      <w:r>
        <w:rPr>
          <w:rFonts w:ascii="Times New Roman" w:hAnsi="Times New Roman"/>
          <w:sz w:val="20"/>
          <w:u w:val="single"/>
        </w:rPr>
        <w:t>Section 6.01(dd)</w:t>
      </w:r>
      <w:r>
        <w:rPr>
          <w:rFonts w:ascii="Times New Roman" w:hAnsi="Times New Roman"/>
          <w:sz w:val="20"/>
        </w:rPr>
        <w:t xml:space="preserve">. Notwithstanding the foregoing, if at any time any change in GAAP would affect the computation of any financial ratio or requirement set forth in any Transaction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Times New Roman" w:hAnsi="Times New Roman"/>
          <w:sz w:val="20"/>
          <w:u w:val="single"/>
        </w:rPr>
        <w:t>provided</w:t>
      </w:r>
      <w:r>
        <w:rPr>
          <w:rFonts w:ascii="Times New Roman" w:hAnsi="Times New Roman"/>
          <w:sz w:val="20"/>
        </w:rPr>
        <w:t xml:space="preserve"> that, until so amended, (a) such ratio or requirement shall continue to be computed in accordance with GAAP prior to such change therein and (b)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For the avoidance of doubt, this </w:t>
      </w:r>
      <w:r>
        <w:rPr>
          <w:rFonts w:ascii="Times New Roman" w:hAnsi="Times New Roman"/>
          <w:sz w:val="20"/>
          <w:u w:val="single"/>
        </w:rPr>
        <w:t>Section 1.03</w:t>
      </w:r>
      <w:r>
        <w:rPr>
          <w:rFonts w:ascii="Times New Roman" w:hAnsi="Times New Roman"/>
          <w:sz w:val="20"/>
        </w:rPr>
        <w:t xml:space="preserve"> and any changes in GAAP or other accounting principles contemplated by this Section shall not affect or modify any computation or determination of the Days’ Sales Outstanding, Default Ratio, Delinquency Ratio, Dilution Ratio, Total Reserves or any input to, or component of,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b/>
          <w:sz w:val="20"/>
          <w:u w:val="single"/>
        </w:rPr>
        <w:t>Benchmark Replacement Notification</w:t>
      </w:r>
      <w:r>
        <w:rPr>
          <w:rFonts w:ascii="Times New Roman" w:hAnsi="Times New Roman"/>
          <w:sz w:val="20"/>
        </w:rPr>
        <w:t xml:space="preserve">. </w:t>
      </w:r>
      <w:r>
        <w:rPr>
          <w:rFonts w:ascii="Times New Roman" w:hAnsi="Times New Roman"/>
          <w:sz w:val="20"/>
          <w:u w:val="single"/>
        </w:rPr>
        <w:t>Section 2.04(d)</w:t>
      </w:r>
      <w:r>
        <w:rPr>
          <w:rFonts w:ascii="Times New Roman" w:hAnsi="Times New Roman"/>
          <w:sz w:val="20"/>
        </w:rPr>
        <w:t xml:space="preserve"> provides a mechanism for determining an alternative rate of interest in the event that Daily 1M SOFR or the Term SOFR Rate is no longer available or in certain other circumstances. The Administrative Agent does not warrant or accept any responsibility for and shall not have any liability with respect to, the administration, submission or any other matter related to Daily 1M SOFR or the Term SOFR Rate, or with respect to any alternative or successor rate thereto, or replacement rate therefor.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120" w:after="0"/>
        <w:jc w:val="center"/>
        <w:rPr>
          <w:rFonts w:ascii="Times New Roman" w:hAnsi="Times New Roman"/>
          <w:b/>
          <w:sz w:val="20"/>
        </w:rPr>
      </w:pPr>
      <w:r>
        <w:rPr>
          <w:rFonts w:ascii="Times New Roman" w:hAnsi="Times New Roman"/>
          <w:b/>
          <w:sz w:val="20"/>
        </w:rPr>
        <w:t xml:space="preserve">TERMS OF THE LOANS </w:t>
      </w:r>
    </w:p>
    <w:p>
      <w:pPr>
        <w:pStyle w:val="TextBody"/>
        <w:bidi w:val="0"/>
        <w:spacing w:before="120" w:after="0"/>
        <w:jc w:val="left"/>
        <w:rPr>
          <w:rFonts w:ascii="Times New Roman" w:hAnsi="Times New Roman"/>
          <w:sz w:val="20"/>
        </w:rPr>
      </w:pPr>
      <w:r>
        <w:rPr>
          <w:rFonts w:ascii="Times New Roman" w:hAnsi="Times New Roman"/>
          <w:sz w:val="20"/>
        </w:rPr>
        <w:t xml:space="preserve">SECTION 2.01 </w:t>
      </w:r>
      <w:r>
        <w:rPr>
          <w:rFonts w:ascii="Times New Roman" w:hAnsi="Times New Roman"/>
          <w:b/>
          <w:sz w:val="20"/>
          <w:u w:val="single"/>
        </w:rPr>
        <w:t>Loan Facility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Term Loan Facility</w:t>
      </w:r>
      <w:r>
        <w:rPr>
          <w:rFonts w:ascii="Times New Roman" w:hAnsi="Times New Roman"/>
          <w:sz w:val="20"/>
        </w:rPr>
        <w:t>. Borrower hereby requests that the Class B Lenders, severally and not jointly, make a Class B Term Loan to the Borrower in an amount equal to $120,000,000 (the “</w:t>
      </w:r>
      <w:r>
        <w:rPr>
          <w:rFonts w:ascii="Times New Roman" w:hAnsi="Times New Roman"/>
          <w:sz w:val="20"/>
          <w:u w:val="single"/>
        </w:rPr>
        <w:t>Initial Class B Term Loan Amount</w:t>
      </w:r>
      <w:r>
        <w:rPr>
          <w:rFonts w:ascii="Times New Roman" w:hAnsi="Times New Roman"/>
          <w:sz w:val="20"/>
        </w:rPr>
        <w:t xml:space="preserve">”) on the First Amendment Date. On the terms and subject to the conditions hereinafter set forth, each Class B Lender, severally and not jointly, agrees to make a single Class B Term Loan to the Borrower on the First Amendment Date in an amount equal to its ratable share (based on the Class B Commitments) of the Initial Class B Term Loan Amount. Under no circumstances shall any Class B Lender be obligated to make a Class B Term Loan if, after giving effect to such Class B Term Loan, (A) the Aggregate Principal would exceed the Borrowing Base at such time, (B) the Aggregate Class B Term Loan Amount would exceed the Class B Facility Limit at such time, (C) the outstanding Principal amount of the Class B Term Loan of such Class B Lender would exceed the Class B Commitment of such Class B Lender at such time. Any amount borrowed under this </w:t>
      </w:r>
      <w:r>
        <w:rPr>
          <w:rFonts w:ascii="Times New Roman" w:hAnsi="Times New Roman"/>
          <w:sz w:val="20"/>
          <w:u w:val="single"/>
        </w:rPr>
        <w:t>Section 2.01(a)</w:t>
      </w:r>
      <w:r>
        <w:rPr>
          <w:rFonts w:ascii="Times New Roman" w:hAnsi="Times New Roman"/>
          <w:sz w:val="20"/>
        </w:rPr>
        <w:t xml:space="preserve"> and subsequently repaid or prepaid may not be reborrowed. Each Class B Lender’s Class B Commitment shall terminate immediately and without further action upon the initial funding of its commitments hereunder. The Class B Term Loan shall initially accrue Interest based on the Term SOFR Rate.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Revolving Loan Facility</w:t>
      </w:r>
      <w:r>
        <w:rPr>
          <w:rFonts w:ascii="Times New Roman" w:hAnsi="Times New Roman"/>
          <w:sz w:val="20"/>
        </w:rPr>
        <w:t xml:space="preserve">. Upon a request by the Borrower pursuant to </w:t>
      </w:r>
      <w:r>
        <w:rPr>
          <w:rFonts w:ascii="Times New Roman" w:hAnsi="Times New Roman"/>
          <w:sz w:val="20"/>
          <w:u w:val="single"/>
        </w:rPr>
        <w:t>Section 2.02</w:t>
      </w:r>
      <w:r>
        <w:rPr>
          <w:rFonts w:ascii="Times New Roman" w:hAnsi="Times New Roman"/>
          <w:sz w:val="20"/>
        </w:rPr>
        <w:t xml:space="preserve">, and on the terms and subject to the conditions hereinafter set forth, the Class A Lenders shall, ratably in accordance with their respective Class A Commitments, severally and not jointly, make Loans to the Borrower from time to time during the period from the Initial Funding Date to the Termination Date. Under no circumstances shall any Lender be obligated to make any such Class A Loan if any applicable condition precedent set forth in </w:t>
      </w:r>
      <w:r>
        <w:rPr>
          <w:rFonts w:ascii="Times New Roman" w:hAnsi="Times New Roman"/>
          <w:sz w:val="20"/>
          <w:u w:val="single"/>
        </w:rPr>
        <w:t>Section 5.02</w:t>
      </w:r>
      <w:r>
        <w:rPr>
          <w:rFonts w:ascii="Times New Roman" w:hAnsi="Times New Roman"/>
          <w:sz w:val="20"/>
        </w:rPr>
        <w:t xml:space="preserve"> is not satisfied with respect to such Class A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2.02 </w:t>
      </w:r>
      <w:r>
        <w:rPr>
          <w:rFonts w:ascii="Times New Roman" w:hAnsi="Times New Roman"/>
          <w:b/>
          <w:sz w:val="20"/>
          <w:u w:val="single"/>
        </w:rPr>
        <w:t>Making Loans; Repayment of Loans</w:t>
      </w:r>
      <w:r>
        <w:rPr>
          <w:rFonts w:ascii="Times New Roman" w:hAnsi="Times New Roman"/>
          <w:sz w:val="20"/>
        </w:rPr>
        <w:t xml:space="preserve">. (a) Each Class A Loan hereunder shall be made at the written request from the Borrower to the Administrative Agent </w:t>
      </w:r>
      <w:r>
        <w:rPr>
          <w:rFonts w:ascii="Times New Roman" w:hAnsi="Times New Roman"/>
          <w:strike/>
          <w:color w:val="FF0000"/>
          <w:sz w:val="20"/>
        </w:rPr>
        <w:t xml:space="preserve">and each Class A Lender </w:t>
      </w:r>
      <w:r>
        <w:rPr>
          <w:rFonts w:ascii="Times New Roman" w:hAnsi="Times New Roman"/>
          <w:sz w:val="20"/>
        </w:rPr>
        <w:t xml:space="preserve">in the form of a Loan Request attached hereto as </w:t>
      </w:r>
      <w:r>
        <w:rPr>
          <w:rFonts w:ascii="Times New Roman" w:hAnsi="Times New Roman"/>
          <w:sz w:val="20"/>
          <w:u w:val="single"/>
        </w:rPr>
        <w:t>Exhibit A</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at any time when PNC (or an Affiliate thereof) is both the Administrative Agent and the sole Class A Lender hereunder, if the Borrower enters into a separate written agreement with the Administrative Agent regarding Administrative Agent’s PINACLE® auto-advance service (or any similar or replacement electronic loan administration service implemented by the Administrative Agent), then any request for a Class A Loan made using such service shall constitute a Loan Request, and each Class A Loan made pursuant to such service shall be made on the date such Loan Request is received by the Administrative Agent. Otherwise, each such request for a Class A Loan shall be made no later than </w:t>
      </w:r>
      <w:r>
        <w:rPr>
          <w:rFonts w:ascii="Times New Roman" w:hAnsi="Times New Roman"/>
          <w:strike/>
          <w:color w:val="FF0000"/>
          <w:sz w:val="20"/>
        </w:rPr>
        <w:t>12:00 p.m.</w:t>
      </w:r>
      <w:r>
        <w:rPr>
          <w:rFonts w:ascii="Times New Roman" w:hAnsi="Times New Roman"/>
          <w:color w:val="0000FF"/>
          <w:sz w:val="20"/>
          <w:u w:val="single"/>
          <w:bdr w:val="double" w:sz="2" w:space="1" w:color="000000"/>
        </w:rPr>
        <w:t>12:00 noon</w:t>
      </w:r>
      <w:r>
        <w:rPr>
          <w:rFonts w:ascii="Times New Roman" w:hAnsi="Times New Roman"/>
          <w:sz w:val="20"/>
        </w:rPr>
        <w:t xml:space="preserve"> Eastern Time on the proposed date of such Class A Loan (</w:t>
      </w:r>
      <w:r>
        <w:rPr>
          <w:rFonts w:ascii="Times New Roman" w:hAnsi="Times New Roman"/>
          <w:sz w:val="20"/>
          <w:u w:val="single"/>
        </w:rPr>
        <w:t>it being understood</w:t>
      </w:r>
      <w:r>
        <w:rPr>
          <w:rFonts w:ascii="Times New Roman" w:hAnsi="Times New Roman"/>
          <w:sz w:val="20"/>
        </w:rPr>
        <w:t xml:space="preserve"> that any such request made after such time shall be deemed to have been made on the following Business Day) and shall specify (i) the amount of the Class A Loan(s) requested (which shall not be less than $1,000,000 and shall be an integral multiple of $100,000), (ii) the allocation of such amount among the Class A Lenders (which shall be ratable based on the Class A Commitments), (iii) the account to which the proceeds of such Class A Loan shall be distributed and (iv) the date such requested Class A Loan is to be made (which shall be a Business Day). </w:t>
      </w:r>
    </w:p>
    <w:p>
      <w:pPr>
        <w:pStyle w:val="TextBody"/>
        <w:bidi w:val="0"/>
        <w:spacing w:before="120" w:after="0"/>
        <w:jc w:val="left"/>
        <w:rPr>
          <w:rFonts w:ascii="Times New Roman" w:hAnsi="Times New Roman"/>
          <w:sz w:val="20"/>
        </w:rPr>
      </w:pPr>
      <w:r>
        <w:rPr>
          <w:rFonts w:ascii="Times New Roman" w:hAnsi="Times New Roman"/>
          <w:sz w:val="20"/>
        </w:rPr>
        <w:t xml:space="preserve">(a) On the date of each Class A Loan specified in the applicable Loan Request, the Class A Lenders (ratably in accordance with their respective Class A Commitments) shall, upon satisfaction of the applicable conditions set forth in </w:t>
      </w:r>
      <w:r>
        <w:rPr>
          <w:rFonts w:ascii="Times New Roman" w:hAnsi="Times New Roman"/>
          <w:sz w:val="20"/>
          <w:u w:val="single"/>
        </w:rPr>
        <w:t>Section 5.02</w:t>
      </w:r>
      <w:r>
        <w:rPr>
          <w:rFonts w:ascii="Times New Roman" w:hAnsi="Times New Roman"/>
          <w:sz w:val="20"/>
        </w:rPr>
        <w:t xml:space="preserve"> and pursuant to the other conditions set forth herein, make available to the Borrower in same day funds an aggregate amount equal to the amount of such Class A Loan requested, at the account set forth in the related Loan Request. </w:t>
      </w:r>
    </w:p>
    <w:p>
      <w:pPr>
        <w:pStyle w:val="TextBody"/>
        <w:bidi w:val="0"/>
        <w:spacing w:before="120" w:after="0"/>
        <w:jc w:val="left"/>
        <w:rPr>
          <w:rFonts w:ascii="Times New Roman" w:hAnsi="Times New Roman"/>
          <w:sz w:val="20"/>
        </w:rPr>
      </w:pPr>
      <w:r>
        <w:rPr>
          <w:rFonts w:ascii="Times New Roman" w:hAnsi="Times New Roman"/>
          <w:sz w:val="20"/>
        </w:rPr>
        <w:t>(b) Each Class A Lender’s obligation shall be several, such that the failure of any Class A Lender to make available to the Borrower any funds in connection with any Class A Loan shall not relieve any other Class A Lender of its obligation, if any, hereunder to make funds available on the date such Class A Loans are requested (</w:t>
      </w:r>
      <w:r>
        <w:rPr>
          <w:rFonts w:ascii="Times New Roman" w:hAnsi="Times New Roman"/>
          <w:sz w:val="20"/>
          <w:u w:val="single"/>
        </w:rPr>
        <w:t>it being understood</w:t>
      </w:r>
      <w:r>
        <w:rPr>
          <w:rFonts w:ascii="Times New Roman" w:hAnsi="Times New Roman"/>
          <w:sz w:val="20"/>
        </w:rPr>
        <w:t xml:space="preserve">, that no Class A Lender shall be responsible for the failure of any other Class A Lender to make funds available to the Borrower in connection with any Class A Loan hereunder). </w:t>
      </w:r>
    </w:p>
    <w:p>
      <w:pPr>
        <w:pStyle w:val="TextBody"/>
        <w:bidi w:val="0"/>
        <w:spacing w:before="120" w:after="0"/>
        <w:jc w:val="left"/>
        <w:rPr>
          <w:rFonts w:ascii="Times New Roman" w:hAnsi="Times New Roman"/>
          <w:sz w:val="20"/>
        </w:rPr>
      </w:pPr>
      <w:r>
        <w:rPr>
          <w:rFonts w:ascii="Times New Roman" w:hAnsi="Times New Roman"/>
          <w:sz w:val="20"/>
        </w:rPr>
        <w:t xml:space="preserve">(c) The Borrower shall repay in full the outstanding Principal of the Class A Loans, together with all accrued and unpaid Interest, Fees and other Class A Borrower Obligations, of each Class A Lender on the Class A Final Maturity Date. Prior thereto, the Borrower shall, on each Settlement Date, make a prepayment of the outstanding Principal of the Class A Lenders to the extent required to eliminate any Class A Borrowing Base Deficit or Borrowing Base Deficit and as otherwise required under </w:t>
      </w:r>
      <w:r>
        <w:rPr>
          <w:rFonts w:ascii="Times New Roman" w:hAnsi="Times New Roman"/>
          <w:sz w:val="20"/>
          <w:u w:val="single"/>
        </w:rPr>
        <w:t>Section 3.01</w:t>
      </w:r>
      <w:r>
        <w:rPr>
          <w:rFonts w:ascii="Times New Roman" w:hAnsi="Times New Roman"/>
          <w:sz w:val="20"/>
        </w:rPr>
        <w:t xml:space="preserve">. Notwithstanding the foregoing, the Borrower, in its discretion, shall have the right to make a prepayment, in whole or in part, of the outstanding Principal of the Class A Loans (i) at any time when PNC (or an Affiliate thereof) is both the Administrative Agent and the sole Class A Lender hereunder, and to the extent the Borrower has entered into a separate written agreement with the Administrative Agent regarding Administrative Agent’s PINACLE® auto-advance service (or any similar or replacement electronic loan administration service implemented by the Administrative Agent) pursuant to </w:t>
      </w:r>
      <w:r>
        <w:rPr>
          <w:rFonts w:ascii="Times New Roman" w:hAnsi="Times New Roman"/>
          <w:sz w:val="20"/>
          <w:u w:val="single"/>
        </w:rPr>
        <w:t>Section 2.02(a)</w:t>
      </w:r>
      <w:r>
        <w:rPr>
          <w:rFonts w:ascii="Times New Roman" w:hAnsi="Times New Roman"/>
          <w:sz w:val="20"/>
        </w:rPr>
        <w:t xml:space="preserve"> hereof, on any Business Day, or (ii) upon same-day written notice no later than </w:t>
      </w:r>
      <w:r>
        <w:rPr>
          <w:rFonts w:ascii="Times New Roman" w:hAnsi="Times New Roman"/>
          <w:strike/>
          <w:color w:val="FF0000"/>
          <w:sz w:val="20"/>
        </w:rPr>
        <w:t>12:00 p.m.</w:t>
      </w:r>
      <w:r>
        <w:rPr>
          <w:rFonts w:ascii="Times New Roman" w:hAnsi="Times New Roman"/>
          <w:color w:val="0000FF"/>
          <w:sz w:val="20"/>
          <w:u w:val="single"/>
          <w:bdr w:val="double" w:sz="2" w:space="1" w:color="000000"/>
        </w:rPr>
        <w:t>12:00 noon</w:t>
      </w:r>
      <w:r>
        <w:rPr>
          <w:rFonts w:ascii="Times New Roman" w:hAnsi="Times New Roman"/>
          <w:sz w:val="20"/>
        </w:rPr>
        <w:t xml:space="preserve"> Eastern Time on the proposed date of such prepayment (</w:t>
      </w:r>
      <w:r>
        <w:rPr>
          <w:rFonts w:ascii="Times New Roman" w:hAnsi="Times New Roman"/>
          <w:sz w:val="20"/>
          <w:u w:val="single"/>
        </w:rPr>
        <w:t>it being understood</w:t>
      </w:r>
      <w:r>
        <w:rPr>
          <w:rFonts w:ascii="Times New Roman" w:hAnsi="Times New Roman"/>
          <w:sz w:val="20"/>
        </w:rPr>
        <w:t xml:space="preserve"> that any such request made after such time shall be deemed to have been made on the following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the Administrative Agent and each Class A Lender in the form of a Reduction Notice attached hereto as </w:t>
      </w:r>
      <w:r>
        <w:rPr>
          <w:rFonts w:ascii="Times New Roman" w:hAnsi="Times New Roman"/>
          <w:sz w:val="20"/>
          <w:u w:val="single"/>
        </w:rPr>
        <w:t>Exhibit B</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i/>
          <w:sz w:val="20"/>
        </w:rPr>
        <w:t>,</w:t>
      </w:r>
      <w:r>
        <w:rPr>
          <w:rFonts w:ascii="Times New Roman" w:hAnsi="Times New Roman"/>
          <w:sz w:val="20"/>
        </w:rPr>
        <w:t xml:space="preserve"> that (i) each such prepayment shall be in a minimum aggregate amount of $1,000,000 and shall be an integral multiple of $100,000, (ii) the Borrower shall not provide any Reduction Notice, and (iii) any other accrued Interest and Fees in respect of such prepaid Principal of the Class A Loans shall be paid on the immediately following Settlement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the foregoing, a prepayment may be in an amount necessary to reduce any Class A Borrowing Base Deficit or Borrowing Base Deficit existing at such time to zero. No Class B Term Loan may be prepaid at any time when the Aggregate Class A Loan Amount is greater than zero. </w:t>
      </w:r>
    </w:p>
    <w:p>
      <w:pPr>
        <w:pStyle w:val="TextBody"/>
        <w:bidi w:val="0"/>
        <w:spacing w:before="120" w:after="0"/>
        <w:jc w:val="left"/>
        <w:rPr>
          <w:rFonts w:ascii="Times New Roman" w:hAnsi="Times New Roman"/>
          <w:sz w:val="20"/>
        </w:rPr>
      </w:pPr>
      <w:r>
        <w:rPr>
          <w:rFonts w:ascii="Times New Roman" w:hAnsi="Times New Roman"/>
          <w:sz w:val="20"/>
        </w:rPr>
        <w:t xml:space="preserve">(d) The Borrower may, at any time upon at least thirty (30) days’ prior written notice to the Administrative Agent and each Lender, terminate the Class A Facility Limit in whole or ratably reduce the Class A Facility Limit in part. Each partial reduction in the Class A Facility Limit shall be in a minimum aggregate amount of $5,000,000 or integral multiples of $1,000,000 in excess thereof, and no such partial reduction shall reduce the Class A Facility Limit to an amount less than $100,000,000. In connection with any partial reduction in the Class A Facility Limit, the Class A Commitment of each Class A Lender shall be ratably reduced. If the Class A Facility Limit is terminated in whole, the Class A Commitment of each Class A Lender shall be reduced to zero. If the Initial Class A Lender’s Class A Commitment is reduced or terminated or refinanced by additional or replacement Class A Lender(s), the Borrower shall pay the Initial Class A Lender the Early Termination Payment on the effective date of such reduction, termination or refinancing. </w:t>
      </w:r>
    </w:p>
    <w:p>
      <w:pPr>
        <w:pStyle w:val="TextBody"/>
        <w:bidi w:val="0"/>
        <w:spacing w:before="120" w:after="0"/>
        <w:jc w:val="left"/>
        <w:rPr>
          <w:rFonts w:ascii="Times New Roman" w:hAnsi="Times New Roman"/>
          <w:sz w:val="20"/>
        </w:rPr>
      </w:pPr>
      <w:r>
        <w:rPr>
          <w:rFonts w:ascii="Times New Roman" w:hAnsi="Times New Roman"/>
          <w:sz w:val="20"/>
        </w:rPr>
        <w:t xml:space="preserve">(e) In connection with any reduction of the Class A Commitments, the Borrower shall remit to the Administrative Agent (i) instructions regarding such reduction and (ii) for payment to the Class A Lenders, cash in an amount sufficient to pay (A) Principal of each Class A Lender in excess of the Class A Commitment of such Class A Lender and (B) all other outstanding Class A Borrower Obligations with respect to such reduction (determined based on the ratio of the reduction of the Class A Commitments being effected to the amount of the Class A Commitments prior to such reduction or, if the Administrative Agent reasonably determines that any portion of the outstanding Class A Borrower Obligations is allocable solely to that portion of the Class A Commitments being reduced or has arisen solely as a result of such reduction, all of such portion) including, without duplication, any associated indemnity payments due under </w:t>
      </w:r>
      <w:r>
        <w:rPr>
          <w:rFonts w:ascii="Times New Roman" w:hAnsi="Times New Roman"/>
          <w:sz w:val="20"/>
          <w:u w:val="single"/>
        </w:rPr>
        <w:t>Section 4.02</w:t>
      </w:r>
      <w:r>
        <w:rPr>
          <w:rFonts w:ascii="Times New Roman" w:hAnsi="Times New Roman"/>
          <w:sz w:val="20"/>
        </w:rPr>
        <w:t xml:space="preserve">. Upon receipt of any such amounts, the Administrative Agent shall apply such amounts first to the reduction of the outstanding Principal of the Class A Loans, and second to the payment of the remaining outstanding Class A Borrower Obligations with respect to such reduction, including any associated indemnity payments due under </w:t>
      </w:r>
      <w:r>
        <w:rPr>
          <w:rFonts w:ascii="Times New Roman" w:hAnsi="Times New Roman"/>
          <w:sz w:val="20"/>
          <w:u w:val="single"/>
        </w:rPr>
        <w:t>Section 4.02</w:t>
      </w:r>
      <w:r>
        <w:rPr>
          <w:rFonts w:ascii="Times New Roman" w:hAnsi="Times New Roman"/>
          <w:sz w:val="20"/>
        </w:rPr>
        <w:t xml:space="preserve">, by paying such amounts to the Class A Lenders. </w:t>
      </w:r>
    </w:p>
    <w:p>
      <w:pPr>
        <w:pStyle w:val="TextBody"/>
        <w:bidi w:val="0"/>
        <w:spacing w:before="120" w:after="0"/>
        <w:jc w:val="left"/>
        <w:rPr>
          <w:rFonts w:ascii="Times New Roman" w:hAnsi="Times New Roman"/>
          <w:sz w:val="20"/>
        </w:rPr>
      </w:pPr>
      <w:r>
        <w:rPr>
          <w:rFonts w:ascii="Times New Roman" w:hAnsi="Times New Roman"/>
          <w:sz w:val="20"/>
        </w:rPr>
        <w:t xml:space="preserve">(f) On the First Amendment Date, the Class B Lenders shall, upon satisfaction or waiver of the applicable conditions set forth in </w:t>
      </w:r>
      <w:r>
        <w:rPr>
          <w:rFonts w:ascii="Times New Roman" w:hAnsi="Times New Roman"/>
          <w:sz w:val="20"/>
          <w:u w:val="single"/>
        </w:rPr>
        <w:t>Article V</w:t>
      </w:r>
      <w:r>
        <w:rPr>
          <w:rFonts w:ascii="Times New Roman" w:hAnsi="Times New Roman"/>
          <w:sz w:val="20"/>
        </w:rPr>
        <w:t xml:space="preserve"> and pursuant to the other conditions set forth in this </w:t>
      </w:r>
      <w:r>
        <w:rPr>
          <w:rFonts w:ascii="Times New Roman" w:hAnsi="Times New Roman"/>
          <w:sz w:val="20"/>
          <w:u w:val="single"/>
        </w:rPr>
        <w:t>Article II</w:t>
      </w:r>
      <w:r>
        <w:rPr>
          <w:rFonts w:ascii="Times New Roman" w:hAnsi="Times New Roman"/>
          <w:sz w:val="20"/>
        </w:rPr>
        <w:t xml:space="preserve">, make the proceeds of such Class B Term Loans available to the Borrower on the First Amendment Date by causing an amount of same day funds in U.S. Dollars equal to the proceeds of all such Class B Term Loans from the Class B Lenders to be credited to the account specified by the Borrower on or prior to the First Amendment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b/>
          <w:sz w:val="20"/>
          <w:u w:val="single"/>
        </w:rPr>
        <w:t>Class A Final Maturity Date; Class B Final Maturity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All Class A Loans and all other amounts owed hereunder with respect to the Class A Loans (and the Class A Commitments, if any) shall become due and payable on the Class A Final Maturity Date. </w:t>
      </w:r>
    </w:p>
    <w:p>
      <w:pPr>
        <w:pStyle w:val="TextBody"/>
        <w:bidi w:val="0"/>
        <w:spacing w:before="120" w:after="0"/>
        <w:jc w:val="left"/>
        <w:rPr>
          <w:rFonts w:ascii="Times New Roman" w:hAnsi="Times New Roman"/>
          <w:sz w:val="20"/>
        </w:rPr>
      </w:pPr>
      <w:r>
        <w:rPr>
          <w:rFonts w:ascii="Times New Roman" w:hAnsi="Times New Roman"/>
          <w:sz w:val="20"/>
        </w:rPr>
        <w:t xml:space="preserve">(ii) All Class B Term Loans and all other amounts owed hereunder with respect to the Class B Term Loans (and the Class B Commitments, if any) shall become due and payable on the Class B Final Maturity Date.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b/>
          <w:sz w:val="20"/>
          <w:u w:val="single"/>
        </w:rPr>
        <w:t>Class B Prepayment Premium</w:t>
      </w:r>
      <w:r>
        <w:rPr>
          <w:rFonts w:ascii="Times New Roman" w:hAnsi="Times New Roman"/>
          <w:sz w:val="20"/>
        </w:rPr>
        <w:t xml:space="preserve">. In the event that any Class B Term Loans are voluntarily or mandatorily prepaid, including as a result of the Class B Term Loans being accelerated (or deemed accelerated) or otherwise becoming due prior to the Class B Final Maturity Date as a result of an Event of Default, in each case, the Borrower shall pay to each Class B Lender, a prepayment premium equal to the applicable Class B Prepayment Premium on all such Class B Term Loans that are so prepaid. If the Class B Term Loans are accelerated or otherwise become due prior to their maturity date, in each case, as a result of an Event of Default (including upon the occurrence of a bankruptcy or insolvency event (including the acceleration of claims by operation of law)), the amount of principal of and premium on the Class B Term Loans that becomes due and payable shall equal 100% of the principal amount of the Class B Term Loans plus the Class B Prepayment Premium in effect on the date of such acceleration or such other prior due date, as if such acceleration or other occurrence were a voluntary prepayment of the Class B Term Loans accelerated or otherwise becoming due. Without limiting the generality of the foregoing, it is understood and agreed that if the Class B Term Loans are accelerated or otherwise become due prior to their maturity date, in each case, in respect of any Event of Default (including upon the occurrence of a bankruptcy or insolvency event (including the acceleration of claims by operation of law)), the Prepayment Premium applicable with respect to a voluntary prepayment of the Class Loans on the applicable date of acceleration will also be due and payable on the date of such acceleration or such other prior due date as though the Class B Term Loans were voluntarily prepaid as of such date and shall constitute part of the Class B Obligations, in view of the impracticability and extreme difficulty of ascertaining actual damages and by mutual agreement of the parties as to a reasonable calculation of the Class B Lender’s loss as a result thereof. Any premium payable above shall be presumed to be the liquidated damages sustained by the Class B Lenders and the Borrower agrees that it is reasonable under the circumstances currently existing. THE BORROWER EXPRESSLY WAIVES (TO THE FULLEST EXTENT IT MAY LAWFULLY DO SO) THE PROVISIONS OF ANY PRESENT OR FUTURE STATUTE OR LAW THAT PROHIBITS OR MAY PROHIBIT THE COLLECTION OF THE CLASS B PREPAYMENT PREMIUM IN CONNECTION WITH ANY SUCH ACCELERATION. The Borrower expressly agrees (to the fullest extent it may lawfully do so) that: (A) the Class B Prepayment Premium is reasonable and is the product of an arm’s length transaction between sophisticated business people, ably represented by counsel; (B) the Class B Prepayment Premium shall be payable notwithstanding the then prevailing market rates at the time payment is made; (C) there has been a course of conduct between the Class B Lenders and the Borrower giving specific consideration in this transaction for such agreement to pay the Class Prepayment Premium; and (D) the Borrower shall be estopped hereafter from claiming differently than as agreed to in this paragraph.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2.03 </w:t>
      </w:r>
      <w:r>
        <w:rPr>
          <w:rFonts w:ascii="Times New Roman" w:hAnsi="Times New Roman"/>
          <w:b/>
          <w:sz w:val="20"/>
          <w:u w:val="single"/>
        </w:rPr>
        <w:t>Interest and Fees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u w:val="single"/>
        </w:rPr>
        <w:t>Fees</w:t>
      </w:r>
      <w:r>
        <w:rPr>
          <w:rFonts w:ascii="Times New Roman" w:hAnsi="Times New Roman"/>
          <w:sz w:val="20"/>
        </w:rPr>
        <w:t xml:space="preserve">. On each Settlement Date, the Borrower shall, in accordance with the terms and priorities for payment set forth in </w:t>
      </w:r>
      <w:r>
        <w:rPr>
          <w:rFonts w:ascii="Times New Roman" w:hAnsi="Times New Roman"/>
          <w:sz w:val="20"/>
          <w:u w:val="single"/>
        </w:rPr>
        <w:t>Section 3.01(a)</w:t>
      </w:r>
      <w:r>
        <w:rPr>
          <w:rFonts w:ascii="Times New Roman" w:hAnsi="Times New Roman"/>
          <w:sz w:val="20"/>
        </w:rPr>
        <w:t>, pay to each Lender, the Administrative Agent and the Structuring Agent certain fees (collectively, the “</w:t>
      </w:r>
      <w:r>
        <w:rPr>
          <w:rFonts w:ascii="Times New Roman" w:hAnsi="Times New Roman"/>
          <w:sz w:val="20"/>
          <w:u w:val="single"/>
        </w:rPr>
        <w:t>Fees</w:t>
      </w:r>
      <w:r>
        <w:rPr>
          <w:rFonts w:ascii="Times New Roman" w:hAnsi="Times New Roman"/>
          <w:sz w:val="20"/>
        </w:rPr>
        <w:t>”) in the amounts set forth in the fee letter agreements from time to time entered into, among the Borrower, the Lenders and/or the Administrative Agent or the Structuring Agent (each such fee letter agreement is collectively referred to herein as the “</w:t>
      </w:r>
      <w:r>
        <w:rPr>
          <w:rFonts w:ascii="Times New Roman" w:hAnsi="Times New Roman"/>
          <w:sz w:val="20"/>
          <w:u w:val="single"/>
        </w:rPr>
        <w:t>Fee Letter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Defaulting Lender’s right to receive Undrawn Fees shall be subject to the terms of </w:t>
      </w:r>
      <w:r>
        <w:rPr>
          <w:rFonts w:ascii="Times New Roman" w:hAnsi="Times New Roman"/>
          <w:sz w:val="20"/>
          <w:u w:val="single"/>
        </w:rPr>
        <w:t>Section 2.06</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u w:val="single"/>
        </w:rPr>
        <w:t>Interest and Fees</w:t>
      </w:r>
      <w:r>
        <w:rPr>
          <w:rFonts w:ascii="Times New Roman" w:hAnsi="Times New Roman"/>
          <w:sz w:val="20"/>
        </w:rPr>
        <w:t xml:space="preserve">. The Principal of each Lender shall accrue interest on each day when such Principal remains outstanding at the then-applicable Interest Rate for such Lender’s related Loan. The Borrower shall pay all Interest and Fees accrued during each Interest Period on the first Settlement Date occurring after the end of such Interest Period in accordance with the terms and priorities for payment set forth in </w:t>
      </w:r>
      <w:r>
        <w:rPr>
          <w:rFonts w:ascii="Times New Roman" w:hAnsi="Times New Roman"/>
          <w:sz w:val="20"/>
          <w:u w:val="single"/>
        </w:rPr>
        <w:t>Section 3.01(a)</w:t>
      </w:r>
      <w:r>
        <w:rPr>
          <w:rFonts w:ascii="Times New Roman" w:hAnsi="Times New Roman"/>
          <w:sz w:val="20"/>
        </w:rPr>
        <w:t xml:space="preserve">. For the avoidance of doubt, Interest </w:t>
      </w:r>
      <w:r>
        <w:rPr>
          <w:rFonts w:ascii="Times New Roman" w:hAnsi="Times New Roman"/>
          <w:color w:val="0000FF"/>
          <w:sz w:val="20"/>
          <w:u w:val="single"/>
          <w:bdr w:val="double" w:sz="2" w:space="1" w:color="000000"/>
        </w:rPr>
        <w:t xml:space="preserve">and (except as otherwise specified in the applicable Fee Letter) Fees </w:t>
      </w:r>
      <w:r>
        <w:rPr>
          <w:rFonts w:ascii="Times New Roman" w:hAnsi="Times New Roman"/>
          <w:sz w:val="20"/>
        </w:rPr>
        <w:t xml:space="preserve">accrued during each Interest Period shall be due and payable on the first Settlement Date after such Interest Period without regard to the availability of Collections for payment thereof.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u w:val="single"/>
        </w:rPr>
        <w:t>Highest Lawful Rate</w:t>
      </w:r>
      <w:r>
        <w:rPr>
          <w:rFonts w:ascii="Times New Roman" w:hAnsi="Times New Roman"/>
          <w:sz w:val="20"/>
        </w:rPr>
        <w:t xml:space="preserve">. If at any time the designated rate of interest applicable to any Loan made by any Lender exceeds such Lender’s highest lawful rate, the rate of interest on such Lender’s Loan shall be limited to such Lender’s highest lawful rate.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sz w:val="20"/>
          <w:u w:val="single"/>
        </w:rPr>
        <w:t>Selection of Daily 1M SOFR and Term SOFR Rate; Rate Quotations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So long as no Event of Default or Financial Covenant Event is continuing, the Borrower may, by written notice to the Administrative Agent, elect for all or any portion of the Aggregate Principal to accrue interest by reference to the Term SOFR Rate (rather than Daily 1M SOFR) during any Interest Period</w:t>
      </w:r>
      <w:r>
        <w:rPr>
          <w:rFonts w:ascii="Times New Roman" w:hAnsi="Times New Roman"/>
          <w:color w:val="0000FF"/>
          <w:sz w:val="20"/>
          <w:u w:val="single"/>
          <w:bdr w:val="double" w:sz="2" w:space="1" w:color="000000"/>
        </w:rPr>
        <w:t>; provided, however, that no such election shall be made for less (or more) than a full calendar-month</w:t>
      </w:r>
      <w:r>
        <w:rPr>
          <w:rFonts w:ascii="Times New Roman" w:hAnsi="Times New Roman"/>
          <w:sz w:val="20"/>
        </w:rPr>
        <w:t>. Any such notice must specify the amount of the Aggregate Principal subject of such election and must be delivered not later than two (2) Business Days prior to the first day of the affected Interest Period. Any such portion of the Aggregate Principal that is subject to such an election shall be apportioned among the respective Lenders’ Principal ratably</w:t>
      </w:r>
      <w:r>
        <w:rPr>
          <w:rFonts w:ascii="Times New Roman" w:hAnsi="Times New Roman"/>
          <w:color w:val="0000FF"/>
          <w:sz w:val="20"/>
          <w:u w:val="single"/>
          <w:bdr w:val="double" w:sz="2" w:space="1" w:color="000000"/>
        </w:rPr>
        <w:t xml:space="preserve"> based on the aggregate outstanding Principal of each Lender at such time</w:t>
      </w:r>
      <w:r>
        <w:rPr>
          <w:rFonts w:ascii="Times New Roman" w:hAnsi="Times New Roman"/>
          <w:sz w:val="20"/>
        </w:rPr>
        <w:t xml:space="preserve">. Notwithstanding the foregoing, (x) the Borrower shall not make such an election if, as a result thereof, more than five Borrowing Tranches would exist and (y) each Borrowing Tranche for Loans accruing interest by reference to the Term SOFR Rate shall be not be less than $1,000,000 and shall be an integral multiple of $100,000. For the avoidance of doubt, if an Event of Default or Financial Covenant Event is then continuing, the Interest Rate for any Loan (and any portion of Principal thereof) shall be determined pursuant to the definition of Interest Rate notwithstanding any otherwise applicable election by the Borrower. </w:t>
      </w:r>
    </w:p>
    <w:p>
      <w:pPr>
        <w:pStyle w:val="TextBody"/>
        <w:bidi w:val="0"/>
        <w:spacing w:before="120" w:after="0"/>
        <w:jc w:val="left"/>
        <w:rPr>
          <w:rFonts w:ascii="Times New Roman" w:hAnsi="Times New Roman"/>
          <w:sz w:val="20"/>
        </w:rPr>
      </w:pPr>
      <w:r>
        <w:rPr>
          <w:rFonts w:ascii="Times New Roman" w:hAnsi="Times New Roman"/>
          <w:sz w:val="20"/>
        </w:rPr>
        <w:t xml:space="preserve">(ii) The Borrower may call the Administrative Agent on or before the date on which a Loan Request is to be delivered to receive an indication of the rates then in effect, but it is acknowledged that such projection shall not be binding on the Administrative Agent or the Lenders nor affect the rate of interest which thereafter is actually in effect when the election is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b/>
          <w:sz w:val="20"/>
          <w:u w:val="single"/>
        </w:rPr>
        <w:t>Conforming Changes Relating to Daily 1M SOFR and the Term SOFR Rate</w:t>
      </w:r>
      <w:r>
        <w:rPr>
          <w:rFonts w:ascii="Times New Roman" w:hAnsi="Times New Roman"/>
          <w:sz w:val="20"/>
        </w:rPr>
        <w:t xml:space="preserve">. With respect to Daily 1M SOFR and the Term SOFR Rate, the Administrative Agent will have the right to make Conforming Changes from time to time and, notwithstanding anything to the contrary herein or in any other Transaction Document, any amendments implementing such Conforming Changes will become effective without any further action or consent of any other party to this Agreement or any other Transaction Document; </w:t>
      </w:r>
      <w:r>
        <w:rPr>
          <w:rFonts w:ascii="Times New Roman" w:hAnsi="Times New Roman"/>
          <w:sz w:val="20"/>
          <w:u w:val="single"/>
        </w:rPr>
        <w:t>provided</w:t>
      </w:r>
      <w:r>
        <w:rPr>
          <w:rFonts w:ascii="Times New Roman" w:hAnsi="Times New Roman"/>
          <w:sz w:val="20"/>
        </w:rPr>
        <w:t xml:space="preserve"> that, with respect to any such amendment effected, the Administrative Agent shall provide notice to the Borrower and the Lenders of each such amendment implementing such Conforming Changes reasonably promptly after such amendment becomes effective.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b/>
          <w:sz w:val="20"/>
          <w:u w:val="single"/>
        </w:rPr>
        <w:t>Interest After Default</w:t>
      </w:r>
      <w:r>
        <w:rPr>
          <w:rFonts w:ascii="Times New Roman" w:hAnsi="Times New Roman"/>
          <w:sz w:val="20"/>
        </w:rPr>
        <w:t xml:space="preserve">. To the extent permitted by Law, upon the occurrence of an Event of Default or Financial Covenant Event and until such time such Event of Default or Financial Covenant Event shall have been cured or waived, at the discretion of the Administrative Agent or upon written demand by the Required Lenders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b/>
          <w:sz w:val="20"/>
          <w:u w:val="single"/>
        </w:rPr>
        <w:t>Interest Rate</w:t>
      </w:r>
      <w:r>
        <w:rPr>
          <w:rFonts w:ascii="Times New Roman" w:hAnsi="Times New Roman"/>
          <w:sz w:val="20"/>
        </w:rPr>
        <w:t xml:space="preserve">. The Interest Rate applicable to each Loan shall be increased by 2.50% per annum;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b/>
          <w:sz w:val="20"/>
          <w:u w:val="single"/>
        </w:rPr>
        <w:t>Other Obligations</w:t>
      </w:r>
      <w:r>
        <w:rPr>
          <w:rFonts w:ascii="Times New Roman" w:hAnsi="Times New Roman"/>
          <w:sz w:val="20"/>
        </w:rPr>
        <w:t xml:space="preserve">. Each other obligation (other than payments in respect of Subordinated Loans) of any Borrower-Related Party hereunder if not paid when due shall bear interest at a rate per annum equal to the sum of the Base Rate </w:t>
      </w:r>
      <w:r>
        <w:rPr>
          <w:rFonts w:ascii="Times New Roman" w:hAnsi="Times New Roman"/>
          <w:sz w:val="20"/>
          <w:u w:val="single"/>
        </w:rPr>
        <w:t>plus</w:t>
      </w:r>
      <w:r>
        <w:rPr>
          <w:rFonts w:ascii="Times New Roman" w:hAnsi="Times New Roman"/>
          <w:sz w:val="20"/>
        </w:rPr>
        <w:t xml:space="preserve"> an additional 2.50% per annum from the time such obligation becomes due and payable until the time such obligation is paid in full; and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b/>
          <w:sz w:val="20"/>
          <w:u w:val="single"/>
        </w:rPr>
        <w:t>Acknowledgment</w:t>
      </w:r>
      <w:r>
        <w:rPr>
          <w:rFonts w:ascii="Times New Roman" w:hAnsi="Times New Roman"/>
          <w:sz w:val="20"/>
        </w:rPr>
        <w:t xml:space="preserve">. The Borrower acknowledges that the increase in rates referred to in this </w:t>
      </w:r>
      <w:r>
        <w:rPr>
          <w:rFonts w:ascii="Times New Roman" w:hAnsi="Times New Roman"/>
          <w:sz w:val="20"/>
          <w:u w:val="single"/>
        </w:rPr>
        <w:t>Section 2.03(f)</w:t>
      </w:r>
      <w:r>
        <w:rPr>
          <w:rFonts w:ascii="Times New Roman" w:hAnsi="Times New Roman"/>
          <w:sz w:val="20"/>
        </w:rPr>
        <w:t xml:space="preserve"> reflects, among other things, the fact that such Loans or other amounts have become a substantially greater risk given their default status and that the Lenders are entitled to additional compensation for such risk; and all such interest shall be payable upon demand by Administrative Agent or (if earlier) on the first Settlement Date occurring after such interest accrues.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b/>
          <w:sz w:val="20"/>
          <w:u w:val="single"/>
        </w:rPr>
        <w:t>Daily 1M SOFR or Term SOFR Rate Unascertainable; Increased Costs; Illegality; Benchmark Replacement Setting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u w:val="single"/>
        </w:rPr>
        <w:t>Unascertainable; Increased Costs</w:t>
      </w:r>
      <w:r>
        <w:rPr>
          <w:rFonts w:ascii="Times New Roman" w:hAnsi="Times New Roman"/>
          <w:sz w:val="20"/>
        </w:rPr>
        <w:t xml:space="preserve">. If, on or prior to the first day of an Interest Period: </w:t>
      </w:r>
    </w:p>
    <w:p>
      <w:pPr>
        <w:pStyle w:val="TextBody"/>
        <w:bidi w:val="0"/>
        <w:spacing w:before="120" w:after="0"/>
        <w:jc w:val="left"/>
        <w:rPr>
          <w:rFonts w:ascii="Times New Roman" w:hAnsi="Times New Roman"/>
          <w:sz w:val="20"/>
        </w:rPr>
      </w:pPr>
      <w:r>
        <w:rPr>
          <w:rFonts w:ascii="Times New Roman" w:hAnsi="Times New Roman"/>
          <w:sz w:val="20"/>
        </w:rPr>
        <w:t xml:space="preserve">(i) the Administrative Agent shall have determined (which determination shall be conclusive and binding absent manifest error) that (x) Daily 1M SOFR or the Term SOFR Rate cannot be determined pursuant to the definition thereof; or (y) a fundamental change has occurred with respect to Daily 1M SOFR or the Term SOFR Rate (including, without limitation, changes in national or international financial, political or economic conditions);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any Lender determines that for any reason that Daily 1M SOFR or the Term SOFR Rate for any requested Interest Period does not adequately and fairly reflect the cost to such Lender of funding such Lender’s Loans, and such Lender has provided notice of such determination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then the Administrative Agent shall have the rights specified in </w:t>
      </w:r>
      <w:r>
        <w:rPr>
          <w:rFonts w:ascii="Times New Roman" w:hAnsi="Times New Roman"/>
          <w:sz w:val="20"/>
          <w:u w:val="single"/>
        </w:rPr>
        <w:t>Section 2.04(c)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u w:val="single"/>
        </w:rPr>
        <w:t>Illegality</w:t>
      </w:r>
      <w:r>
        <w:rPr>
          <w:rFonts w:ascii="Times New Roman" w:hAnsi="Times New Roman"/>
          <w:sz w:val="20"/>
        </w:rPr>
        <w:t xml:space="preserve">. If at any time any Lender shall have determined that the making, maintenance or funding of any Loan accruing interest by reference to Daily 1M SOFR or the Term SOFR Rate has been made unlawful, by compliance by such Lender </w:t>
      </w:r>
      <w:r>
        <w:rPr>
          <w:rFonts w:ascii="Times New Roman" w:hAnsi="Times New Roman"/>
          <w:strike/>
          <w:color w:val="FF0000"/>
          <w:sz w:val="20"/>
        </w:rPr>
        <w:t xml:space="preserve">in good faith </w:t>
      </w:r>
      <w:r>
        <w:rPr>
          <w:rFonts w:ascii="Times New Roman" w:hAnsi="Times New Roman"/>
          <w:sz w:val="20"/>
        </w:rPr>
        <w:t xml:space="preserve">in good faith with any Law or any interpretation or application thereof by any Official Body or with any request or directive of any such Official Body (whether or not having the force of Law), then the Administrative Agent shall have the rights specified in </w:t>
      </w:r>
      <w:r>
        <w:rPr>
          <w:rFonts w:ascii="Times New Roman" w:hAnsi="Times New Roman"/>
          <w:sz w:val="20"/>
          <w:u w:val="single"/>
        </w:rPr>
        <w:t>Section 2.04(c)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u w:val="single"/>
        </w:rPr>
        <w:t>Administrative Agent’s and Lender’s Rights</w:t>
      </w:r>
      <w:r>
        <w:rPr>
          <w:rFonts w:ascii="Times New Roman" w:hAnsi="Times New Roman"/>
          <w:sz w:val="20"/>
        </w:rPr>
        <w:t xml:space="preserve">. In the case of any event specified in </w:t>
      </w:r>
      <w:r>
        <w:rPr>
          <w:rFonts w:ascii="Times New Roman" w:hAnsi="Times New Roman"/>
          <w:sz w:val="20"/>
          <w:u w:val="single"/>
        </w:rPr>
        <w:t>Section 2.04(a)</w:t>
      </w:r>
      <w:r>
        <w:rPr>
          <w:rFonts w:ascii="Times New Roman" w:hAnsi="Times New Roman"/>
          <w:sz w:val="20"/>
        </w:rPr>
        <w:t xml:space="preserve">, the Administrative Agent shall promptly so notify the Lenders and the Borrower thereof, and in the case of an event specified in </w:t>
      </w:r>
      <w:r>
        <w:rPr>
          <w:rFonts w:ascii="Times New Roman" w:hAnsi="Times New Roman"/>
          <w:sz w:val="20"/>
          <w:u w:val="single"/>
        </w:rPr>
        <w:t>Section 2.04(b)</w:t>
      </w:r>
      <w:r>
        <w:rPr>
          <w:rFonts w:ascii="Times New Roman" w:hAnsi="Times New Roman"/>
          <w:sz w:val="20"/>
        </w:rPr>
        <w:t xml:space="preserve">, such Lender shall promptly so notify the Administrative Agent and endorse a certificate to such notice as to the specific circumstances of such notice, and the Administrative Agent shall promptly send copies of such notice and certificate to the other Lenders and the Borrower. </w:t>
      </w:r>
    </w:p>
    <w:p>
      <w:pPr>
        <w:pStyle w:val="TextBody"/>
        <w:bidi w:val="0"/>
        <w:spacing w:before="240" w:after="0"/>
        <w:jc w:val="left"/>
        <w:rPr>
          <w:rFonts w:ascii="Times New Roman" w:hAnsi="Times New Roman"/>
          <w:sz w:val="20"/>
        </w:rPr>
      </w:pPr>
      <w:r>
        <w:rPr>
          <w:rFonts w:ascii="Times New Roman" w:hAnsi="Times New Roman"/>
          <w:sz w:val="20"/>
        </w:rPr>
        <w:t xml:space="preserve">Upon such date as shall be specified in such notice (which shall not be earlier than the date such notice is given), the obligation of (i) the Lenders, in the case of such notice given by the Administrative Agent, or (ii) such Lender, in the case of such notice given by such Lender, to allow the Borrower to select, convert to or renew a Loan accruing interest by reference to Daily 1M SOFR or the Term SOFR Rate shall be suspended (to the extent of the affected Interest Rate or the applicable Interest Periods) until the Administrative Agent shall have later notified the Borrower, or such Lender shall have later notified the Administrative Agent, of the Administrative Agent’s or such Lender’s, as the case may be, determination that the circumstances giving rise to such previous determination no longer exist. </w:t>
      </w:r>
    </w:p>
    <w:p>
      <w:pPr>
        <w:pStyle w:val="TextBody"/>
        <w:bidi w:val="0"/>
        <w:spacing w:before="240" w:after="0"/>
        <w:jc w:val="left"/>
        <w:rPr>
          <w:rFonts w:ascii="Times New Roman" w:hAnsi="Times New Roman"/>
          <w:sz w:val="20"/>
        </w:rPr>
      </w:pPr>
      <w:r>
        <w:rPr>
          <w:rFonts w:ascii="Times New Roman" w:hAnsi="Times New Roman"/>
          <w:sz w:val="20"/>
        </w:rPr>
        <w:t xml:space="preserve">If at any time the Administrative Agent makes a determination under </w:t>
      </w:r>
      <w:r>
        <w:rPr>
          <w:rFonts w:ascii="Times New Roman" w:hAnsi="Times New Roman"/>
          <w:sz w:val="20"/>
          <w:u w:val="single"/>
        </w:rPr>
        <w:t>Section 2.04(a)</w:t>
      </w:r>
      <w:r>
        <w:rPr>
          <w:rFonts w:ascii="Times New Roman" w:hAnsi="Times New Roman"/>
          <w:sz w:val="20"/>
        </w:rPr>
        <w:t xml:space="preserve">, (A) if the Borrower has delivered a Loan Request for an affected Loan that has not yet been made, such Loan Request shall be deemed to request a Base Rate Loan, (B) any outstanding affected Loans shall be deemed to have been converted into Base Rate Loans at the end of the applicable Interest Period. </w:t>
      </w:r>
    </w:p>
    <w:p>
      <w:pPr>
        <w:pStyle w:val="TextBody"/>
        <w:bidi w:val="0"/>
        <w:spacing w:before="240" w:after="0"/>
        <w:jc w:val="left"/>
        <w:rPr>
          <w:rFonts w:ascii="Times New Roman" w:hAnsi="Times New Roman"/>
          <w:sz w:val="20"/>
        </w:rPr>
      </w:pPr>
      <w:r>
        <w:rPr>
          <w:rFonts w:ascii="Times New Roman" w:hAnsi="Times New Roman"/>
          <w:sz w:val="20"/>
        </w:rPr>
        <w:t xml:space="preserve">If any Lender notifies the Administrative Agent of a determination under </w:t>
      </w:r>
      <w:r>
        <w:rPr>
          <w:rFonts w:ascii="Times New Roman" w:hAnsi="Times New Roman"/>
          <w:sz w:val="20"/>
          <w:u w:val="single"/>
        </w:rPr>
        <w:t>Section 2.04(b)</w:t>
      </w:r>
      <w:r>
        <w:rPr>
          <w:rFonts w:ascii="Times New Roman" w:hAnsi="Times New Roman"/>
          <w:sz w:val="20"/>
        </w:rPr>
        <w:t xml:space="preserve"> above, the Borrower shall, subject to the Borrower’s indemnification obligations under </w:t>
      </w:r>
      <w:r>
        <w:rPr>
          <w:rFonts w:ascii="Times New Roman" w:hAnsi="Times New Roman"/>
          <w:sz w:val="20"/>
          <w:u w:val="single"/>
        </w:rPr>
        <w:t>Section 4.02</w:t>
      </w:r>
      <w:r>
        <w:rPr>
          <w:rFonts w:ascii="Times New Roman" w:hAnsi="Times New Roman"/>
          <w:sz w:val="20"/>
        </w:rPr>
        <w:t xml:space="preserve">, as to any Loan of the Lender to which a Term SOFR Rate applies, on the date specified in such notice either convert such Loan to a Base Rate Loan or prepay such Loan. Absent due notice from the Borrower of conversion or prepayment, such Loan shall automatically be converted to a Base Rate Loan upon such specified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b/>
          <w:sz w:val="20"/>
          <w:u w:val="single"/>
        </w:rPr>
        <w:t>Benchmark Replacement Setting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b/>
          <w:sz w:val="20"/>
          <w:u w:val="single"/>
        </w:rPr>
        <w:t>Benchmark Replacement</w:t>
      </w:r>
      <w:r>
        <w:rPr>
          <w:rFonts w:ascii="Times New Roman" w:hAnsi="Times New Roman"/>
          <w:sz w:val="20"/>
        </w:rPr>
        <w:t xml:space="preserve">. Notwithstanding anything to the contrary herein or in any other Transaction Document, if a Benchmark Transition Event and its related Benchmark Replacement Date have occurred prior to any setting of the then-current Benchmark, then (A) if a Benchmark Replacement is determined in accordance with </w:t>
      </w:r>
      <w:r>
        <w:rPr>
          <w:rFonts w:ascii="Times New Roman" w:hAnsi="Times New Roman"/>
          <w:sz w:val="20"/>
          <w:u w:val="single"/>
        </w:rPr>
        <w:t>clause (1)</w:t>
      </w:r>
      <w:r>
        <w:rPr>
          <w:rFonts w:ascii="Times New Roman" w:hAnsi="Times New Roman"/>
          <w:sz w:val="20"/>
        </w:rPr>
        <w:t xml:space="preserve"> of the definition of “Benchmark Replacement” for such Benchmark Replacement Date, such Benchmark Replacement will replace such Benchmark for all purposes hereunder and under any Transaction Document in respect of such Benchmark setting and subsequent Benchmark settings without any amendment to, or further action or consent of any other party to, this Agreement or any other Transaction Document and (B) if a Benchmark Replacement is determined in accordance with </w:t>
      </w:r>
      <w:r>
        <w:rPr>
          <w:rFonts w:ascii="Times New Roman" w:hAnsi="Times New Roman"/>
          <w:sz w:val="20"/>
          <w:u w:val="single"/>
        </w:rPr>
        <w:t>clause (2)</w:t>
      </w:r>
      <w:r>
        <w:rPr>
          <w:rFonts w:ascii="Times New Roman" w:hAnsi="Times New Roman"/>
          <w:sz w:val="20"/>
        </w:rPr>
        <w:t xml:space="preserve"> of the definition of “Benchmark Replacement” for such Benchmark Replacement Date, such Benchmark Replacement will replace such Benchmark for all purposes hereunder and under any Transaction Document in respect of any Benchmark setting at or after 5:00 p.m. Eastern Time on the fifth (5th) Business Day after the date notice of such Benchmark Replacement is provided to the Lenders without any amendment to, or further action or consent of any other party to, this Agreement or any other Transaction Document so long as the Administrative Agent has not received, by such time, written notice of objection to such Benchmark Replacement from Lenders comprising the Required Lenders.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b/>
          <w:sz w:val="20"/>
          <w:u w:val="single"/>
        </w:rPr>
        <w:t>Benchmark Replacement Conforming Changes</w:t>
      </w:r>
      <w:r>
        <w:rPr>
          <w:rFonts w:ascii="Times New Roman" w:hAnsi="Times New Roman"/>
          <w:sz w:val="20"/>
        </w:rPr>
        <w:t xml:space="preserve">. In connection with the use, administration, adoption or implementation of a Benchmark Replacement, the Administrative Agent may make Conforming Changes from time to time and, notwithstanding anything to the contrary herein or in any other Transaction Document, any amendments implementing such Conforming Changes will become effective without any further action or consent of any other party to this Agreement or any other Transaction Document.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b/>
          <w:sz w:val="20"/>
          <w:u w:val="single"/>
        </w:rPr>
        <w:t>Notices; Standards for Decisions and Determinations</w:t>
      </w:r>
      <w:r>
        <w:rPr>
          <w:rFonts w:ascii="Times New Roman" w:hAnsi="Times New Roman"/>
          <w:sz w:val="20"/>
        </w:rPr>
        <w:t xml:space="preserve">. The Administrative Agent will promptly notify the Borrower and the Lenders of (A) the implementation of any Benchmark Replacement, and (B) the effectiveness of any Conforming Changes in connection with the use, administration, adoption, or implementation of a Benchmark Replacement. The Administrative Agent will notify the Borrower of (x) the removal or reinstatement of any tenor of a Benchmark pursuant to </w:t>
      </w:r>
      <w:r>
        <w:rPr>
          <w:rFonts w:ascii="Times New Roman" w:hAnsi="Times New Roman"/>
          <w:sz w:val="20"/>
          <w:u w:val="single"/>
        </w:rPr>
        <w:t>paragraph (iv)</w:t>
      </w:r>
      <w:r>
        <w:rPr>
          <w:rFonts w:ascii="Times New Roman" w:hAnsi="Times New Roman"/>
          <w:sz w:val="20"/>
        </w:rPr>
        <w:t xml:space="preserve"> below and (y) the commencement of any Benchmark Unavailability Period. Any determination, decision or election that may be made by the Administrative Agent or, if applicable, any Lender (or group of Lenders) pursuant to this </w:t>
      </w:r>
      <w:r>
        <w:rPr>
          <w:rFonts w:ascii="Times New Roman" w:hAnsi="Times New Roman"/>
          <w:sz w:val="20"/>
          <w:u w:val="single"/>
        </w:rPr>
        <w:t>Section 2.04(d)</w:t>
      </w:r>
      <w:r>
        <w:rPr>
          <w:rFonts w:ascii="Times New Roman" w:hAnsi="Times New Roman"/>
          <w:sz w:val="20"/>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Transaction Document except, in each case, as expressly required pursuant to this </w:t>
      </w:r>
      <w:r>
        <w:rPr>
          <w:rFonts w:ascii="Times New Roman" w:hAnsi="Times New Roman"/>
          <w:sz w:val="20"/>
          <w:u w:val="single"/>
        </w:rPr>
        <w:t>Section 2.04(d)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b/>
          <w:sz w:val="20"/>
          <w:u w:val="single"/>
        </w:rPr>
        <w:t>Unavailability of Tenor of Benchmark</w:t>
      </w:r>
      <w:r>
        <w:rPr>
          <w:rFonts w:ascii="Times New Roman" w:hAnsi="Times New Roman"/>
          <w:sz w:val="20"/>
        </w:rPr>
        <w:t xml:space="preserve">. Notwithstanding anything to the contrary herein or in any other Transaction Document, at any time (including in connection with the implementation of a Benchmark Replacement), (A) if the then-current Benchmark is a term rate and either (I) any tenor for such Benchmark is not displayed on a screen or other information service that publishes such rate from time to time as selected by the Administrative Agent in its reasonable discretion or (II)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w:t>
      </w:r>
      <w:r>
        <w:rPr>
          <w:rFonts w:ascii="Times New Roman" w:hAnsi="Times New Roman"/>
          <w:sz w:val="20"/>
          <w:u w:val="single"/>
        </w:rPr>
        <w:t>clause (A)</w:t>
      </w:r>
      <w:r>
        <w:rPr>
          <w:rFonts w:ascii="Times New Roman" w:hAnsi="Times New Roman"/>
          <w:sz w:val="20"/>
        </w:rPr>
        <w:t xml:space="preserve"> above either (I) is subsequently displayed on a screen or information service for a Benchmark (including a Benchmark Replacement) or (II)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b/>
          <w:sz w:val="20"/>
          <w:u w:val="single"/>
        </w:rPr>
        <w:t>Benchmark Unavailability Period</w:t>
      </w:r>
      <w:r>
        <w:rPr>
          <w:rFonts w:ascii="Times New Roman" w:hAnsi="Times New Roman"/>
          <w:sz w:val="20"/>
        </w:rPr>
        <w:t xml:space="preserve">. Upon the Borrower’s receipt of notice of the commencement of a Benchmark Unavailability Period, the Borrower may revoke any pending request for a Loan bearing interest based on Daily 1M SOFR or the Term SOFR Rate, conversion to or continuation of Loans bearing interest based on Daily 1M SOFR or the Term SOFR Rate to be made, converted or continued during any Benchmark Unavailability Period and, failing that, the Borrower will be deemed to have converted any such request into a request for a Base Rate Loan. During a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b/>
          <w:sz w:val="20"/>
          <w:u w:val="single"/>
        </w:rPr>
        <w:t>Definitions</w:t>
      </w:r>
      <w:r>
        <w:rPr>
          <w:rFonts w:ascii="Times New Roman" w:hAnsi="Times New Roman"/>
          <w:sz w:val="20"/>
        </w:rPr>
        <w:t xml:space="preserve">. As used in this </w:t>
      </w:r>
      <w:r>
        <w:rPr>
          <w:rFonts w:ascii="Times New Roman" w:hAnsi="Times New Roman"/>
          <w:sz w:val="20"/>
          <w:u w:val="single"/>
        </w:rPr>
        <w:t>Section 2.04(d)</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Available Tenor</w:t>
      </w:r>
      <w:r>
        <w:rPr>
          <w:rFonts w:ascii="Times New Roman" w:hAnsi="Times New Roman"/>
          <w:sz w:val="20"/>
        </w:rPr>
        <w:t xml:space="preserve">” means, as of any date of determination and with respect to the then-current Benchmark, as applicable, (x) if such Benchmark is a term rate or is based on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of such Benchmark that is then-removed from the definition of “Interest Period” pursuant to </w:t>
      </w:r>
      <w:r>
        <w:rPr>
          <w:rFonts w:ascii="Times New Roman" w:hAnsi="Times New Roman"/>
          <w:sz w:val="20"/>
          <w:u w:val="single"/>
        </w:rPr>
        <w:t>clause (iv)</w:t>
      </w:r>
      <w:r>
        <w:rPr>
          <w:rFonts w:ascii="Times New Roman" w:hAnsi="Times New Roman"/>
          <w:sz w:val="20"/>
        </w:rPr>
        <w:t xml:space="preserve"> of this </w:t>
      </w:r>
      <w:r>
        <w:rPr>
          <w:rFonts w:ascii="Times New Roman" w:hAnsi="Times New Roman"/>
          <w:sz w:val="20"/>
          <w:u w:val="single"/>
        </w:rPr>
        <w:t>Section 2.04(d)</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Benchmark</w:t>
      </w:r>
      <w:r>
        <w:rPr>
          <w:rFonts w:ascii="Times New Roman" w:hAnsi="Times New Roman"/>
          <w:sz w:val="20"/>
        </w:rPr>
        <w:t xml:space="preserve">” means, initially, Daily 1M SOFR and the Term SOFR Rate; </w:t>
      </w:r>
      <w:r>
        <w:rPr>
          <w:rFonts w:ascii="Times New Roman" w:hAnsi="Times New Roman"/>
          <w:sz w:val="20"/>
          <w:u w:val="single"/>
        </w:rPr>
        <w:t>provided</w:t>
      </w:r>
      <w:r>
        <w:rPr>
          <w:rFonts w:ascii="Times New Roman" w:hAnsi="Times New Roman"/>
          <w:sz w:val="20"/>
        </w:rPr>
        <w:t xml:space="preserve"> that if a Benchmark Transition Event has occurred with respect to Daily 1M SOFR, the Term SOFR Rate or the then-current Benchmark, then “Benchmark” means the applicable Benchmark Replacement to the extent that such Benchmark Replacement has replaced such prior benchmark rate pursuant to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Benchmark Replacement</w:t>
      </w:r>
      <w:r>
        <w:rPr>
          <w:rFonts w:ascii="Times New Roman" w:hAnsi="Times New Roman"/>
          <w:sz w:val="20"/>
        </w:rPr>
        <w:t xml:space="preserve">” means, with respect to any Benchmark Transition Event, the first alternative set forth in the order below that can be determined by the Administrative Agent for the applicable Benchmark Replacement Date: </w:t>
      </w:r>
    </w:p>
    <w:p>
      <w:pPr>
        <w:pStyle w:val="TextBody"/>
        <w:bidi w:val="0"/>
        <w:spacing w:before="120" w:after="0"/>
        <w:jc w:val="left"/>
        <w:rPr>
          <w:rFonts w:ascii="Times New Roman" w:hAnsi="Times New Roman"/>
          <w:sz w:val="20"/>
        </w:rPr>
      </w:pPr>
      <w:r>
        <w:rPr>
          <w:rFonts w:ascii="Times New Roman" w:hAnsi="Times New Roman"/>
          <w:sz w:val="20"/>
        </w:rPr>
        <w:t xml:space="preserve">(1) the sum of: (A) Daily Simple SOFR and (B) the SOFR Adjustment; and </w:t>
      </w:r>
    </w:p>
    <w:p>
      <w:pPr>
        <w:pStyle w:val="TextBody"/>
        <w:bidi w:val="0"/>
        <w:spacing w:before="120" w:after="0"/>
        <w:jc w:val="left"/>
        <w:rPr>
          <w:rFonts w:ascii="Times New Roman" w:hAnsi="Times New Roman"/>
          <w:sz w:val="20"/>
        </w:rPr>
      </w:pPr>
      <w:r>
        <w:rPr>
          <w:rFonts w:ascii="Times New Roman" w:hAnsi="Times New Roman"/>
          <w:sz w:val="20"/>
        </w:rPr>
        <w:t xml:space="preserve">(2) the sum of (A) the alternate benchmark rate that has been selected by the Administrative Agent and the Borrower, giving due consideration to (x) any selection or recommendation of a replacement benchmark rate or the mechanism for determining such a rate by the Relevant Governmental Body or (y) any evolving or then-prevailing market convention for determining a benchmark rate as a replacement to the then-current Benchmark for Dollar-denominated syndicated credit facilities at such time and (B) the related Benchmark Replacement Adjustment; </w:t>
      </w:r>
    </w:p>
    <w:p>
      <w:pPr>
        <w:pStyle w:val="TextBody"/>
        <w:bidi w:val="0"/>
        <w:spacing w:before="12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if the Benchmark Replacement as determined pursuant to clause (2) above would be less than the Floor, the Benchmark Replacement will be deemed to be the Floor for the purposes of this Agreement and the other Transaction Documents;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Benchmark Replacement shall be administratively feasible as determined by the Administrative Agent in its sole discretion. </w:t>
      </w:r>
    </w:p>
    <w:p>
      <w:pPr>
        <w:pStyle w:val="TextBody"/>
        <w:bidi w:val="0"/>
        <w:spacing w:before="120" w:after="0"/>
        <w:jc w:val="left"/>
        <w:rPr/>
      </w:pPr>
      <w:r>
        <w:rPr/>
        <w:t>“</w:t>
      </w:r>
      <w:r>
        <w:rPr>
          <w:rFonts w:ascii="Times New Roman" w:hAnsi="Times New Roman"/>
          <w:sz w:val="20"/>
          <w:u w:val="single"/>
        </w:rPr>
        <w:t>Benchmark Replacement Adjustment</w:t>
      </w:r>
      <w:r>
        <w:rPr>
          <w:rFonts w:ascii="Times New Roman" w:hAnsi="Times New Roman"/>
          <w:sz w:val="20"/>
        </w:rPr>
        <w:t xml:space="preserve">”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 </w:t>
      </w:r>
    </w:p>
    <w:p>
      <w:pPr>
        <w:pStyle w:val="TextBody"/>
        <w:bidi w:val="0"/>
        <w:spacing w:before="120" w:after="0"/>
        <w:jc w:val="left"/>
        <w:rPr/>
      </w:pPr>
      <w:r>
        <w:rPr/>
        <w:t>“</w:t>
      </w:r>
      <w:r>
        <w:rPr>
          <w:rFonts w:ascii="Times New Roman" w:hAnsi="Times New Roman"/>
          <w:sz w:val="20"/>
          <w:u w:val="single"/>
        </w:rPr>
        <w:t>Benchmark Replacement Date</w:t>
      </w:r>
      <w:r>
        <w:rPr>
          <w:rFonts w:ascii="Times New Roman" w:hAnsi="Times New Roman"/>
          <w:sz w:val="20"/>
        </w:rPr>
        <w:t xml:space="preserve">” means a date and time determined by the Administrative Agent, which date shall be no later than the earliest to occur of the following events with respect to the then-current Benchmark: </w:t>
      </w:r>
    </w:p>
    <w:p>
      <w:pPr>
        <w:pStyle w:val="TextBody"/>
        <w:bidi w:val="0"/>
        <w:spacing w:before="120" w:after="0"/>
        <w:jc w:val="left"/>
        <w:rPr>
          <w:rFonts w:ascii="Times New Roman" w:hAnsi="Times New Roman"/>
          <w:sz w:val="20"/>
        </w:rPr>
      </w:pPr>
      <w:r>
        <w:rPr>
          <w:rFonts w:ascii="Times New Roman" w:hAnsi="Times New Roman"/>
          <w:sz w:val="20"/>
        </w:rPr>
        <w:t xml:space="preserve">(1) in the case of </w:t>
      </w:r>
      <w:r>
        <w:rPr>
          <w:rFonts w:ascii="Times New Roman" w:hAnsi="Times New Roman"/>
          <w:sz w:val="20"/>
          <w:u w:val="single"/>
        </w:rPr>
        <w:t>clause (1)</w:t>
      </w:r>
      <w:r>
        <w:rPr>
          <w:rFonts w:ascii="Times New Roman" w:hAnsi="Times New Roman"/>
          <w:sz w:val="20"/>
        </w:rPr>
        <w:t xml:space="preserve"> or </w:t>
      </w:r>
      <w:r>
        <w:rPr>
          <w:rFonts w:ascii="Times New Roman" w:hAnsi="Times New Roman"/>
          <w:sz w:val="20"/>
          <w:u w:val="single"/>
        </w:rPr>
        <w:t>(2)</w:t>
      </w:r>
      <w:r>
        <w:rPr>
          <w:rFonts w:ascii="Times New Roman" w:hAnsi="Times New Roman"/>
          <w:sz w:val="20"/>
        </w:rPr>
        <w:t xml:space="preserve">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in the case of </w:t>
      </w:r>
      <w:r>
        <w:rPr>
          <w:rFonts w:ascii="Times New Roman" w:hAnsi="Times New Roman"/>
          <w:sz w:val="20"/>
          <w:u w:val="single"/>
        </w:rPr>
        <w:t>clause (3)</w:t>
      </w:r>
      <w:r>
        <w:rPr>
          <w:rFonts w:ascii="Times New Roman" w:hAnsi="Times New Roman"/>
          <w:sz w:val="20"/>
        </w:rPr>
        <w:t xml:space="preserve"> of the definition of “Benchmark Transition Event,” the date determined by the Administrative Agent, which date shall promptly follow the date of the public statement or publication of information referenced therein; </w:t>
      </w:r>
    </w:p>
    <w:p>
      <w:pPr>
        <w:pStyle w:val="TextBody"/>
        <w:bidi w:val="0"/>
        <w:spacing w:before="120" w:after="0"/>
        <w:jc w:val="left"/>
        <w:rPr>
          <w:rFonts w:ascii="Times New Roman" w:hAnsi="Times New Roman"/>
          <w:sz w:val="20"/>
        </w:rPr>
      </w:pPr>
      <w:r>
        <w:rPr>
          <w:rFonts w:ascii="Times New Roman" w:hAnsi="Times New Roman"/>
          <w:sz w:val="20"/>
        </w:rPr>
        <w:t xml:space="preserve">For the avoidance of doubt, the “Benchmark Replacement Date” will be deemed to have occurred in the case of </w:t>
      </w:r>
      <w:r>
        <w:rPr>
          <w:rFonts w:ascii="Times New Roman" w:hAnsi="Times New Roman"/>
          <w:sz w:val="20"/>
          <w:u w:val="single"/>
        </w:rPr>
        <w:t>clause (1)</w:t>
      </w:r>
      <w:r>
        <w:rPr>
          <w:rFonts w:ascii="Times New Roman" w:hAnsi="Times New Roman"/>
          <w:sz w:val="20"/>
        </w:rPr>
        <w:t xml:space="preserve"> or </w:t>
      </w:r>
      <w:r>
        <w:rPr>
          <w:rFonts w:ascii="Times New Roman" w:hAnsi="Times New Roman"/>
          <w:sz w:val="20"/>
          <w:u w:val="single"/>
        </w:rPr>
        <w:t>(2)</w:t>
      </w:r>
      <w:r>
        <w:rPr>
          <w:rFonts w:ascii="Times New Roman" w:hAnsi="Times New Roman"/>
          <w:sz w:val="20"/>
        </w:rPr>
        <w:t xml:space="preserve"> with respect to any Benchmark upon the occurrence of the applicable event or events set forth therein with respect to all then-current Available Tenors of such Benchmark (or the published component used in the calculation thereof). </w:t>
      </w:r>
    </w:p>
    <w:p>
      <w:pPr>
        <w:pStyle w:val="TextBody"/>
        <w:bidi w:val="0"/>
        <w:spacing w:before="120" w:after="0"/>
        <w:jc w:val="left"/>
        <w:rPr/>
      </w:pPr>
      <w:r>
        <w:rPr/>
        <w:t>“</w:t>
      </w:r>
      <w:r>
        <w:rPr>
          <w:rFonts w:ascii="Times New Roman" w:hAnsi="Times New Roman"/>
          <w:sz w:val="20"/>
          <w:u w:val="single"/>
        </w:rPr>
        <w:t>Benchmark Transition Event</w:t>
      </w:r>
      <w:r>
        <w:rPr>
          <w:rFonts w:ascii="Times New Roman" w:hAnsi="Times New Roman"/>
          <w:sz w:val="20"/>
        </w:rPr>
        <w:t xml:space="preserve">” means, the occurrence of one or more of the following events, with respect to the then-current Benchmark: </w:t>
      </w:r>
    </w:p>
    <w:p>
      <w:pPr>
        <w:pStyle w:val="TextBody"/>
        <w:bidi w:val="0"/>
        <w:spacing w:before="120" w:after="0"/>
        <w:jc w:val="left"/>
        <w:rPr>
          <w:rFonts w:ascii="Times New Roman" w:hAnsi="Times New Roman"/>
          <w:sz w:val="20"/>
        </w:rPr>
      </w:pPr>
      <w:r>
        <w:rPr>
          <w:rFonts w:ascii="Times New Roman" w:hAnsi="Times New Roman"/>
          <w:sz w:val="20"/>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w:t>
      </w:r>
    </w:p>
    <w:p>
      <w:pPr>
        <w:pStyle w:val="TextBody"/>
        <w:bidi w:val="0"/>
        <w:spacing w:before="120" w:after="0"/>
        <w:jc w:val="left"/>
        <w:rPr>
          <w:rFonts w:ascii="Times New Roman" w:hAnsi="Times New Roman"/>
          <w:sz w:val="20"/>
        </w:rPr>
      </w:pPr>
      <w:r>
        <w:rPr>
          <w:rFonts w:ascii="Times New Roman" w:hAnsi="Times New Roman"/>
          <w:sz w:val="20"/>
        </w:rPr>
        <w:t xml:space="preserve">(2) a public statement or publication of information by an Official Body having jurisdiction over the Administrative Agent,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 </w:t>
      </w:r>
    </w:p>
    <w:p>
      <w:pPr>
        <w:pStyle w:val="TextBody"/>
        <w:bidi w:val="0"/>
        <w:spacing w:before="120" w:after="0"/>
        <w:jc w:val="left"/>
        <w:rPr>
          <w:rFonts w:ascii="Times New Roman" w:hAnsi="Times New Roman"/>
          <w:sz w:val="20"/>
        </w:rPr>
      </w:pPr>
      <w:r>
        <w:rPr>
          <w:rFonts w:ascii="Times New Roman" w:hAnsi="Times New Roman"/>
          <w:sz w:val="20"/>
        </w:rPr>
        <w:t xml:space="preserve">(3) a public statement or publication of information by the regulatory supervisor for the administrator of such Benchmark (or the published component used in the calculation thereof) or an Official Body having jurisdiction over the Administrative Agent announcing that all Available Tenors of such Benchmark (or such component thereof) are not, or as of a specified future date will not be, representative.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w:t>
      </w:r>
    </w:p>
    <w:p>
      <w:pPr>
        <w:pStyle w:val="TextBody"/>
        <w:bidi w:val="0"/>
        <w:spacing w:before="120" w:after="0"/>
        <w:jc w:val="left"/>
        <w:rPr/>
      </w:pPr>
      <w:r>
        <w:rPr/>
        <w:t>“</w:t>
      </w:r>
      <w:r>
        <w:rPr>
          <w:rFonts w:ascii="Times New Roman" w:hAnsi="Times New Roman"/>
          <w:sz w:val="20"/>
          <w:u w:val="single"/>
        </w:rPr>
        <w:t>Benchmark Unavailability Period</w:t>
      </w:r>
      <w:r>
        <w:rPr>
          <w:rFonts w:ascii="Times New Roman" w:hAnsi="Times New Roman"/>
          <w:sz w:val="20"/>
        </w:rPr>
        <w:t xml:space="preserve">” means the period (if any) (x) beginning at the time that a Benchmark Replacement Date has occurred if, at such time, no Benchmark Replacement has replaced the then-current Benchmark for all purposes hereunder and under any Transaction Document in accordance with this </w:t>
      </w:r>
      <w:r>
        <w:rPr>
          <w:rFonts w:ascii="Times New Roman" w:hAnsi="Times New Roman"/>
          <w:sz w:val="20"/>
          <w:u w:val="single"/>
        </w:rPr>
        <w:t>Section 2.04(d)</w:t>
      </w:r>
      <w:r>
        <w:rPr>
          <w:rFonts w:ascii="Times New Roman" w:hAnsi="Times New Roman"/>
          <w:sz w:val="20"/>
        </w:rPr>
        <w:t xml:space="preserve"> and (y) ending at the time that a Benchmark Replacement has replaced the then-current Benchmark for all purposes hereunder and under any Transaction Document in accordance with this </w:t>
      </w:r>
      <w:r>
        <w:rPr>
          <w:rFonts w:ascii="Times New Roman" w:hAnsi="Times New Roman"/>
          <w:sz w:val="20"/>
          <w:u w:val="single"/>
        </w:rPr>
        <w:t>Section 2.04(d)</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Floor</w:t>
      </w:r>
      <w:r>
        <w:rPr>
          <w:rFonts w:ascii="Times New Roman" w:hAnsi="Times New Roman"/>
          <w:sz w:val="20"/>
        </w:rPr>
        <w:t xml:space="preserve">” means the benchmark rate floor, if any, provided in this Agreement initially (as of the execution of this Agreement, the modification, amendment or renewal of this Agreement or otherwise) with respect to the Term SOFR Rate or, if no floor is specified, zero. </w:t>
      </w:r>
    </w:p>
    <w:p>
      <w:pPr>
        <w:pStyle w:val="TextBody"/>
        <w:bidi w:val="0"/>
        <w:spacing w:before="120" w:after="0"/>
        <w:jc w:val="left"/>
        <w:rPr/>
      </w:pPr>
      <w:r>
        <w:rPr/>
        <w:t>“</w:t>
      </w:r>
      <w:r>
        <w:rPr>
          <w:rFonts w:ascii="Times New Roman" w:hAnsi="Times New Roman"/>
          <w:sz w:val="20"/>
          <w:u w:val="single"/>
        </w:rPr>
        <w:t>Relevant Governmental Body</w:t>
      </w:r>
      <w:r>
        <w:rPr>
          <w:rFonts w:ascii="Times New Roman" w:hAnsi="Times New Roman"/>
          <w:sz w:val="20"/>
        </w:rPr>
        <w:t xml:space="preserve">” means the Board of Governors of the Federal Reserve System or the Federal Reserve Bank of New York, or a committee officially endorsed or convened by the Board of Governors of the Federal Reserve System or the Federal Reserve Bank of New York, or any successor thereto. </w:t>
      </w:r>
    </w:p>
    <w:p>
      <w:pPr>
        <w:pStyle w:val="TextBody"/>
        <w:bidi w:val="0"/>
        <w:spacing w:before="120" w:after="0"/>
        <w:jc w:val="left"/>
        <w:rPr/>
      </w:pPr>
      <w:r>
        <w:rPr/>
        <w:t>“</w:t>
      </w:r>
      <w:r>
        <w:rPr>
          <w:rFonts w:ascii="Times New Roman" w:hAnsi="Times New Roman"/>
          <w:sz w:val="20"/>
          <w:u w:val="single"/>
        </w:rPr>
        <w:t>Unadjusted Benchmark Replacement</w:t>
      </w:r>
      <w:r>
        <w:rPr>
          <w:rFonts w:ascii="Times New Roman" w:hAnsi="Times New Roman"/>
          <w:sz w:val="20"/>
        </w:rPr>
        <w:t xml:space="preserve">” means the applicable Benchmark Replacement excluding the related Benchmark Replacement Adjustment.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b/>
          <w:sz w:val="20"/>
          <w:u w:val="single"/>
        </w:rPr>
        <w:t>Records of Loans</w:t>
      </w:r>
      <w:r>
        <w:rPr>
          <w:rFonts w:ascii="Times New Roman" w:hAnsi="Times New Roman"/>
          <w:sz w:val="20"/>
        </w:rPr>
        <w:t xml:space="preserve">. Each Lender shall record in its records, the date and amount of each Loan made by such Lender hereunder, the interest rate with respect thereto, the Interest accrued thereon and each repayment and payment thereof. Subject to </w:t>
      </w:r>
      <w:r>
        <w:rPr>
          <w:rFonts w:ascii="Times New Roman" w:hAnsi="Times New Roman"/>
          <w:sz w:val="20"/>
          <w:u w:val="single"/>
        </w:rPr>
        <w:t>Section 12.06(c)</w:t>
      </w:r>
      <w:r>
        <w:rPr>
          <w:rFonts w:ascii="Times New Roman" w:hAnsi="Times New Roman"/>
          <w:sz w:val="20"/>
        </w:rPr>
        <w:t xml:space="preserve">, such records shall be conclusive and binding absent manifest error. The failure to so record any such information or any error in so recording any such information shall not, however, limit or otherwise affect the obligations of the Borrower hereunder or under the other Transaction Documents to repay the Principal of each Lender, together with all Interest accruing thereon and all other Borrower Obligations.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b/>
          <w:sz w:val="20"/>
          <w:u w:val="single"/>
        </w:rPr>
        <w:t>Defaulting Lenders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Defaulting Lender Adjustments</w:t>
      </w:r>
      <w:r>
        <w:rPr>
          <w:rFonts w:ascii="Times New Roman" w:hAnsi="Times New Roman"/>
          <w:sz w:val="20"/>
        </w:rPr>
        <w:t xml:space="preserve">. Notwithstanding anything to the contrary contained in this Agreement, if any Lender becomes a Defaulting Lender, then, until such time as such Lender is no longer a Defaulting Lender, to the extent permitted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b/>
          <w:sz w:val="20"/>
          <w:u w:val="single"/>
        </w:rPr>
        <w:t>Waivers and Amendments</w:t>
      </w:r>
      <w:r>
        <w:rPr>
          <w:rFonts w:ascii="Times New Roman" w:hAnsi="Times New Roman"/>
          <w:sz w:val="20"/>
        </w:rPr>
        <w:t xml:space="preserve">. Such Defaulting Lender’s right to approve or disapprove any amendment, waiver or consent with respect to this Agreement shall be restricted as specified in the definition of Required Lenders.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b/>
          <w:sz w:val="20"/>
          <w:u w:val="single"/>
        </w:rPr>
        <w:t>Defaulting Lender Waterfall</w:t>
      </w:r>
      <w:r>
        <w:rPr>
          <w:rFonts w:ascii="Times New Roman" w:hAnsi="Times New Roman"/>
          <w:sz w:val="20"/>
        </w:rPr>
        <w:t xml:space="preserve">. Any payment of principal, interest, fees or other amounts received by the Administrative Agent for the account of such Defaulting Lender (whether voluntary or mandatory, at maturity, pursuant to </w:t>
      </w:r>
      <w:r>
        <w:rPr>
          <w:rFonts w:ascii="Times New Roman" w:hAnsi="Times New Roman"/>
          <w:sz w:val="20"/>
          <w:u w:val="single"/>
        </w:rPr>
        <w:t>Section 3.01(a)</w:t>
      </w:r>
      <w:r>
        <w:rPr>
          <w:rFonts w:ascii="Times New Roman" w:hAnsi="Times New Roman"/>
          <w:sz w:val="20"/>
        </w:rPr>
        <w:t xml:space="preserve"> or otherwise) or received by the Administrative Agent from a Defaulting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w:t>
      </w:r>
      <w:r>
        <w:rPr>
          <w:rFonts w:ascii="Times New Roman" w:hAnsi="Times New Roman"/>
          <w:sz w:val="20"/>
          <w:u w:val="single"/>
        </w:rPr>
        <w:t>Section 9.02(b)</w:t>
      </w:r>
      <w:r>
        <w:rPr>
          <w:rFonts w:ascii="Times New Roman" w:hAnsi="Times New Roman"/>
          <w:sz w:val="20"/>
        </w:rPr>
        <w:t xml:space="preserve"> shall be applied at such time or times as may be determined by the Administrative Agent as follows: </w:t>
      </w:r>
      <w:r>
        <w:rPr>
          <w:rFonts w:ascii="Times New Roman" w:hAnsi="Times New Roman"/>
          <w:i/>
          <w:sz w:val="20"/>
        </w:rPr>
        <w:t>first</w:t>
      </w:r>
      <w:r>
        <w:rPr>
          <w:rFonts w:ascii="Times New Roman" w:hAnsi="Times New Roman"/>
          <w:sz w:val="20"/>
        </w:rPr>
        <w:t xml:space="preserve">, to the payment of any amounts owing by such Defaulting Lender to the Administrative Agent hereunder; </w:t>
      </w:r>
      <w:r>
        <w:rPr>
          <w:rFonts w:ascii="Times New Roman" w:hAnsi="Times New Roman"/>
          <w:i/>
          <w:sz w:val="20"/>
        </w:rPr>
        <w:t>second</w:t>
      </w:r>
      <w:r>
        <w:rPr>
          <w:rFonts w:ascii="Times New Roman" w:hAnsi="Times New Roman"/>
          <w:sz w:val="20"/>
        </w:rPr>
        <w:t xml:space="preserve">, as the Borrower may request (so long as no Potential Default or Event of Default or Financial Covenant Event exists), to the funding of any Loan in respect of which such Defaulting Lender has failed to fund its portion thereof as required by this Agreement, as determined by the Administrative Agent; </w:t>
      </w:r>
      <w:r>
        <w:rPr>
          <w:rFonts w:ascii="Times New Roman" w:hAnsi="Times New Roman"/>
          <w:i/>
          <w:sz w:val="20"/>
        </w:rPr>
        <w:t>third</w:t>
      </w:r>
      <w:r>
        <w:rPr>
          <w:rFonts w:ascii="Times New Roman" w:hAnsi="Times New Roman"/>
          <w:sz w:val="20"/>
        </w:rPr>
        <w:t xml:space="preserve">, if so determined by the Administrative Agent and the Borrower, to be held in a deposit account and released pro rata in order to satisfy such Defaulting Lender’s potential future funding obligations with respect to Loans under this Agreement; </w:t>
      </w:r>
      <w:r>
        <w:rPr>
          <w:rFonts w:ascii="Times New Roman" w:hAnsi="Times New Roman"/>
          <w:i/>
          <w:sz w:val="20"/>
        </w:rPr>
        <w:t>fourth</w:t>
      </w:r>
      <w:r>
        <w:rPr>
          <w:rFonts w:ascii="Times New Roman" w:hAnsi="Times New Roman"/>
          <w:sz w:val="20"/>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Times New Roman" w:hAnsi="Times New Roman"/>
          <w:i/>
          <w:sz w:val="20"/>
        </w:rPr>
        <w:t>fifth</w:t>
      </w:r>
      <w:r>
        <w:rPr>
          <w:rFonts w:ascii="Times New Roman" w:hAnsi="Times New Roman"/>
          <w:sz w:val="20"/>
        </w:rPr>
        <w:t xml:space="preserve">, so long as no Potential Default or Event of Default or Financial Covenant Event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hAnsi="Times New Roman"/>
          <w:i/>
          <w:sz w:val="20"/>
        </w:rPr>
        <w:t>sixth</w:t>
      </w:r>
      <w:r>
        <w:rPr>
          <w:rFonts w:ascii="Times New Roman" w:hAnsi="Times New Roman"/>
          <w:sz w:val="20"/>
        </w:rPr>
        <w:t xml:space="preserve">, to such Defaulting Lender or as otherwise directed by a court of competent jurisdiction; </w:t>
      </w:r>
      <w:r>
        <w:rPr>
          <w:rFonts w:ascii="Times New Roman" w:hAnsi="Times New Roman"/>
          <w:sz w:val="20"/>
          <w:u w:val="single"/>
        </w:rPr>
        <w:t>provided</w:t>
      </w:r>
      <w:r>
        <w:rPr>
          <w:rFonts w:ascii="Times New Roman" w:hAnsi="Times New Roman"/>
          <w:sz w:val="20"/>
        </w:rPr>
        <w:t xml:space="preserve"> that if (x) such payment is a payment of the principal amount of any Loans in respect of which such Defaulting Lender has not fully funded its appropriate share, and (y) such Loans were made at a time when the conditions specified in </w:t>
      </w:r>
      <w:r>
        <w:rPr>
          <w:rFonts w:ascii="Times New Roman" w:hAnsi="Times New Roman"/>
          <w:sz w:val="20"/>
          <w:u w:val="single"/>
        </w:rPr>
        <w:t>Section 5.02</w:t>
      </w:r>
      <w:r>
        <w:rPr>
          <w:rFonts w:ascii="Times New Roman" w:hAnsi="Times New Roman"/>
          <w:sz w:val="20"/>
        </w:rPr>
        <w:t xml:space="preserve"> were satisfied or waived, such payment shall be applied solely to pay the Loans of all Non-Defaulting Lenders on a pro rata basis prior to being applied to the payment of any Loans of such Defaulting Lender until such time as all Loans are held by the Lenders pro rata in accordance with the Commitments. Any payments, prepayments or other amounts paid or payable to a Defaulting Lender that are applied (or held) to pay amounts owed by a Defaulting Lender pursuant to this </w:t>
      </w:r>
      <w:r>
        <w:rPr>
          <w:rFonts w:ascii="Times New Roman" w:hAnsi="Times New Roman"/>
          <w:sz w:val="20"/>
          <w:u w:val="single"/>
        </w:rPr>
        <w:t>Section 2.06(a)(ii)</w:t>
      </w:r>
      <w:r>
        <w:rPr>
          <w:rFonts w:ascii="Times New Roman" w:hAnsi="Times New Roman"/>
          <w:sz w:val="20"/>
        </w:rPr>
        <w:t xml:space="preserve"> shall be deemed paid to and redirected by such Defaulting Lender, and each Lender irrevocably consents hereto.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b/>
          <w:sz w:val="20"/>
          <w:u w:val="single"/>
        </w:rPr>
        <w:t>Certain Fees</w:t>
      </w:r>
      <w:r>
        <w:rPr>
          <w:rFonts w:ascii="Times New Roman" w:hAnsi="Times New Roman"/>
          <w:sz w:val="20"/>
        </w:rPr>
        <w:t xml:space="preserve">. Notwithstanding anything to the contrary in the applicable Fee Letter, no Defaulting Lender shall be entitled to receive any Undrawn Fee accrued for any period during which that Lender is a Defaulting Lender (and the Borrower shall not be required to pay any such Undrawn Fee that otherwise would have been required to have been paid to that Defaulting Lender).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u w:val="single"/>
        </w:rPr>
        <w:t>Defaulting Lender Cure</w:t>
      </w:r>
      <w:r>
        <w:rPr>
          <w:rFonts w:ascii="Times New Roman" w:hAnsi="Times New Roman"/>
          <w:sz w:val="20"/>
        </w:rPr>
        <w:t xml:space="preserve">. If the Borrower and the Administrative Agent agree in writing that a Lender is no longer a Defaulting Lender, the Administrative Agent will so notify the parties hereto, whereupon as of the effective date specified in such notice and subject to any conditions specified therein, that Lender will, to the extent applicable, purchase at par that portion of outstanding Loans of the other Lenders or take such other actions as the Administrative Agent may determine to be necessary to cause the Loans to be held pro rata by the Lenders in accordance with the Commitments, whereupon such Lender will cease to be a Defaulting Lender; </w:t>
      </w:r>
      <w:r>
        <w:rPr>
          <w:rFonts w:ascii="Times New Roman" w:hAnsi="Times New Roman"/>
          <w:sz w:val="20"/>
          <w:u w:val="single"/>
        </w:rPr>
        <w:t>provided</w:t>
      </w:r>
      <w:r>
        <w:rPr>
          <w:rFonts w:ascii="Times New Roman" w:hAnsi="Times New Roman"/>
          <w:sz w:val="20"/>
        </w:rPr>
        <w:t xml:space="preserve"> that no adjustments will be made retroactively with respect to fees accrued or payments made by or on behalf of the Borrower while that Lender was a Defaulting Lender;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b/>
          <w:sz w:val="20"/>
          <w:u w:val="single"/>
        </w:rPr>
        <w:t>Termination of Defaulting Lender</w:t>
      </w:r>
      <w:r>
        <w:rPr>
          <w:rFonts w:ascii="Times New Roman" w:hAnsi="Times New Roman"/>
          <w:sz w:val="20"/>
        </w:rPr>
        <w:t xml:space="preserve">. The Borrower may terminate the unused amount of the Commitment of any Defaulting Lender upon not less than ten (10) Business Days’ prior notice to the Administrative Agent (which shall promptly notify the Lenders thereof), and in such event the provisions of </w:t>
      </w:r>
      <w:r>
        <w:rPr>
          <w:rFonts w:ascii="Times New Roman" w:hAnsi="Times New Roman"/>
          <w:sz w:val="20"/>
          <w:u w:val="single"/>
        </w:rPr>
        <w:t>Section 2.06(a)(ii)</w:t>
      </w:r>
      <w:r>
        <w:rPr>
          <w:rFonts w:ascii="Times New Roman" w:hAnsi="Times New Roman"/>
          <w:sz w:val="20"/>
        </w:rPr>
        <w:t xml:space="preserve"> will apply to all amounts thereafter paid by the Borrower for the account of such Defaulting Lender under this Agreement (whether on account of principal, interest, fees, indemnity or other amounts); </w:t>
      </w:r>
      <w:r>
        <w:rPr>
          <w:rFonts w:ascii="Times New Roman" w:hAnsi="Times New Roman"/>
          <w:sz w:val="20"/>
          <w:u w:val="single"/>
        </w:rPr>
        <w:t>provided</w:t>
      </w:r>
      <w:r>
        <w:rPr>
          <w:rFonts w:ascii="Times New Roman" w:hAnsi="Times New Roman"/>
          <w:sz w:val="20"/>
        </w:rPr>
        <w:t xml:space="preserve"> that (i) no Event of Default or Financial Covenant Event shall have occurred and be continuing, and (ii) such termination shall not be deemed to be a waiver or release of any claim the Borrower, the Administrative Agent or any Lender may have against such Defaulting Lender. </w:t>
      </w:r>
    </w:p>
    <w:p>
      <w:pPr>
        <w:pStyle w:val="TextBody"/>
        <w:bidi w:val="0"/>
        <w:spacing w:before="240" w:after="0"/>
        <w:jc w:val="left"/>
        <w:rPr>
          <w:rFonts w:ascii="Times New Roman" w:hAnsi="Times New Roman"/>
          <w:sz w:val="20"/>
        </w:rPr>
      </w:pPr>
      <w:r>
        <w:rPr>
          <w:rFonts w:ascii="Times New Roman" w:hAnsi="Times New Roman"/>
          <w:sz w:val="20"/>
        </w:rPr>
        <w:t>SECTION 2.07</w:t>
      </w:r>
      <w:r>
        <w:rPr>
          <w:rFonts w:ascii="Times New Roman" w:hAnsi="Times New Roman"/>
          <w:sz w:val="20"/>
          <w:u w:val="single"/>
        </w:rPr>
        <w:t xml:space="preserve"> </w:t>
      </w:r>
      <w:r>
        <w:rPr>
          <w:rFonts w:ascii="Times New Roman" w:hAnsi="Times New Roman"/>
          <w:b/>
          <w:sz w:val="20"/>
          <w:u w:val="single"/>
        </w:rPr>
        <w:t>Security Interest</w:t>
      </w:r>
      <w:r>
        <w:rPr>
          <w:rFonts w:ascii="Times New Roman" w:hAnsi="Times New Roman"/>
          <w:sz w:val="20"/>
          <w:u w:val="single"/>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As security for the performance by the Borrower of all the terms, covenants and agreements on the part of the Borrower to be performed under this Agreement or any other Transaction Document, including the punctual payment when due of the Aggregate Principal and all Interest in respect of the Loans and all other Borrower Obligations, the Borrower hereby grants to the Administrative Agent for its benefit and the ratable benefit of the Secured Parties, a continuing security interest in, all of the Borrower’s right, title and interest in, to and under all of the following, whether now or hereafter owned, existing or arising (collectively, the “</w:t>
      </w:r>
      <w:r>
        <w:rPr>
          <w:rFonts w:ascii="Times New Roman" w:hAnsi="Times New Roman"/>
          <w:sz w:val="20"/>
          <w:u w:val="single"/>
        </w:rPr>
        <w:t>Collateral</w:t>
      </w:r>
      <w:r>
        <w:rPr>
          <w:rFonts w:ascii="Times New Roman" w:hAnsi="Times New Roman"/>
          <w:sz w:val="20"/>
        </w:rPr>
        <w:t xml:space="preserve">”): (i) all Pool Receivables, (ii) all Related Security with respect to such Pool Receivables, (iii) all Collections with respect to such Pool Receivables, (iv) Lock-Boxes and Collection Accounts and all amounts on deposit therein (other than collections with respect to Excluded Receivables), and all certificates and instruments, if any, from time to time evidencing such Lock-Boxes, Collection Accounts and amounts on deposit therein (other than collections with respect to Excluded Receivables), (v) all rights of the Borrower under each Transfer Agreement and each Credit Insurance Policy, (vi) all other personal and fixture property or assets of the Borrower of every kind and nature including all goods (including inventory, equipment and any accessions thereto), instruments (including promissory notes), documents, accounts, chattel paper (whether tangible or electronic), deposit accounts, securities accounts, securities entitlements, letter-of-credit rights, commercial tort claims, securities and all other investment property, supporting obligations, money, any other contract rights or rights to the payment of money, insurance claims and proceeds, and all general intangibles (including all payment intangibles) (each as defined in the UCC) and (vii) all proceeds of, and all amounts received or receivable under any or all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(b) The Administrative Agent (for the benefit of the Secured Parties) shall have, with respect to all the Collateral, and in addition to all the other rights and remedies available to the Administrative Agent (for the benefit of the Secured Parties), all the rights and remedies of a secured party under any applicable UCC. The Borrower hereby authorizes the Administrative Agent to file financing statements describing as the collateral covered thereby as “all of the debtor’s personal property or assets” or words to that effect, notwithstanding that such wording may be broader in scope than the collateral described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Immediately upon the occurrence of the Final Payout Date, the Collateral shall be automatically released from the lien created hereby, and this Agreement and all obligations (other than those expressly stated to survive such termination) of the Administrative Agent, the Lenders and the other Credit Parties hereunder shall terminate, all without delivery of any instrument or performance of any act by any party, and all rights to the Collateral shall revert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Borrower;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promptly following written request therefor by the Borrower delivered to the Administrative Agent following any such termination, and at the expense of the Borrower, the Administrative Agent shall execute and deliver to the Borrower UCC-3 termination statements and such other documents as the Borrower shall reasonably request to evidence such termination.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center"/>
        <w:rPr>
          <w:rFonts w:ascii="Times New Roman" w:hAnsi="Times New Roman"/>
          <w:b/>
          <w:sz w:val="20"/>
        </w:rPr>
      </w:pPr>
      <w:r>
        <w:rPr>
          <w:rFonts w:ascii="Times New Roman" w:hAnsi="Times New Roman"/>
          <w:b/>
          <w:sz w:val="20"/>
        </w:rPr>
        <w:t xml:space="preserve">SETTLEMENT PROCEDURES AND PAYMENT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b/>
          <w:sz w:val="20"/>
          <w:u w:val="single"/>
        </w:rPr>
        <w:t>Settlement Procedures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So long as the Administrative Agent has not taken dominion and control of the Collection Accounts, each Servicer shall set aside and hold in trust for the benefit of the Secured Parties (or, if so requested by the Administrative Agent, segregate in a separate account designated by the Administrative Agent, which shall be an account maintained and/or controlled by the Administrative Agent unless the Administrative Agent otherwise instructs in its sole discretion), for application in accordance with the priority of payments set forth below, all Collections on Pool Receivables that are actually received by each Servicer or the Borrower or received in any Lock-Box or Collection Account;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so long as each of the conditions precedent set forth in </w:t>
      </w:r>
      <w:r>
        <w:rPr>
          <w:rFonts w:ascii="Times New Roman" w:hAnsi="Times New Roman"/>
          <w:sz w:val="20"/>
          <w:u w:val="single"/>
        </w:rPr>
        <w:t>Section 5.03</w:t>
      </w:r>
      <w:r>
        <w:rPr>
          <w:rFonts w:ascii="Times New Roman" w:hAnsi="Times New Roman"/>
          <w:sz w:val="20"/>
        </w:rPr>
        <w:t xml:space="preserve"> are satisfied on such date, each Servicer may release to the Borrower from such Collections the amount (if any) necessary to (x) pay the purchase price for Receivables purchased by the Borrower on such date in accordance with the terms of the applicable Transfer Agreement or (y) amounts owing by the Borrower to any Originator under any Subordinated Loan (each such release, a “</w:t>
      </w:r>
      <w:r>
        <w:rPr>
          <w:rFonts w:ascii="Times New Roman" w:hAnsi="Times New Roman"/>
          <w:sz w:val="20"/>
          <w:u w:val="single"/>
        </w:rPr>
        <w:t>Release</w:t>
      </w:r>
      <w:r>
        <w:rPr>
          <w:rFonts w:ascii="Times New Roman" w:hAnsi="Times New Roman"/>
          <w:sz w:val="20"/>
        </w:rPr>
        <w:t xml:space="preserve">”). On each Settlement Date, each Servicer (or, following its assumption of control of the Collection Accounts, the Administrative Agent) shall, or shall cause the Borrower to, distribute such Collections in the following order of priority: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b/>
          <w:sz w:val="20"/>
          <w:u w:val="single"/>
        </w:rPr>
        <w:t>first</w:t>
      </w:r>
      <w:r>
        <w:rPr>
          <w:rFonts w:ascii="Times New Roman" w:hAnsi="Times New Roman"/>
          <w:sz w:val="20"/>
        </w:rPr>
        <w:t>, (A) </w:t>
      </w:r>
      <w:r>
        <w:rPr>
          <w:rFonts w:ascii="Times New Roman" w:hAnsi="Times New Roman"/>
          <w:sz w:val="20"/>
          <w:u w:val="single"/>
        </w:rPr>
        <w:t>first</w:t>
      </w:r>
      <w:r>
        <w:rPr>
          <w:rFonts w:ascii="Times New Roman" w:hAnsi="Times New Roman"/>
          <w:sz w:val="20"/>
        </w:rPr>
        <w:t xml:space="preserve">, to the Administrative Agent, the amount of any Administrative Agent Transition Fees then due and owing and any accrued and unpaid expenses and indemnity payments due and payable and validly incurred in accordance with </w:t>
      </w:r>
      <w:r>
        <w:rPr>
          <w:rFonts w:ascii="Times New Roman" w:hAnsi="Times New Roman"/>
          <w:sz w:val="20"/>
          <w:u w:val="single"/>
        </w:rPr>
        <w:t>Section 11.01</w:t>
      </w:r>
      <w:r>
        <w:rPr>
          <w:rFonts w:ascii="Times New Roman" w:hAnsi="Times New Roman"/>
          <w:sz w:val="20"/>
        </w:rPr>
        <w:t xml:space="preserve">, </w:t>
      </w:r>
      <w:r>
        <w:rPr>
          <w:rFonts w:ascii="Times New Roman" w:hAnsi="Times New Roman"/>
          <w:sz w:val="20"/>
          <w:u w:val="single"/>
        </w:rPr>
        <w:t>Section 11.02</w:t>
      </w:r>
      <w:r>
        <w:rPr>
          <w:rFonts w:ascii="Times New Roman" w:hAnsi="Times New Roman"/>
          <w:sz w:val="20"/>
        </w:rPr>
        <w:t xml:space="preserve"> and </w:t>
      </w:r>
      <w:r>
        <w:rPr>
          <w:rFonts w:ascii="Times New Roman" w:hAnsi="Times New Roman"/>
          <w:sz w:val="20"/>
          <w:u w:val="single"/>
        </w:rPr>
        <w:t>Section 11.03</w:t>
      </w:r>
      <w:r>
        <w:rPr>
          <w:rFonts w:ascii="Times New Roman" w:hAnsi="Times New Roman"/>
          <w:sz w:val="20"/>
        </w:rPr>
        <w:t xml:space="preserve"> (B) </w:t>
      </w:r>
      <w:r>
        <w:rPr>
          <w:rFonts w:ascii="Times New Roman" w:hAnsi="Times New Roman"/>
          <w:sz w:val="20"/>
          <w:u w:val="single"/>
        </w:rPr>
        <w:t>second</w:t>
      </w:r>
      <w:r>
        <w:rPr>
          <w:rFonts w:ascii="Times New Roman" w:hAnsi="Times New Roman"/>
          <w:sz w:val="20"/>
        </w:rPr>
        <w:t xml:space="preserve">, to each Servicer for the payment of the accrued Servicing Fees payable for the immediately preceding Interest Period (plus, if applicable, the amount of Servicing Fees payable for any prior Interest Period to the extent such amount has not been distributed to each Servicer);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b/>
          <w:sz w:val="20"/>
          <w:u w:val="single"/>
        </w:rPr>
        <w:t>second</w:t>
      </w:r>
      <w:r>
        <w:rPr>
          <w:rFonts w:ascii="Times New Roman" w:hAnsi="Times New Roman"/>
          <w:sz w:val="20"/>
        </w:rPr>
        <w:t>, (A) </w:t>
      </w:r>
      <w:r>
        <w:rPr>
          <w:rFonts w:ascii="Times New Roman" w:hAnsi="Times New Roman"/>
          <w:sz w:val="20"/>
          <w:u w:val="single"/>
        </w:rPr>
        <w:t>first</w:t>
      </w:r>
      <w:r>
        <w:rPr>
          <w:rFonts w:ascii="Times New Roman" w:hAnsi="Times New Roman"/>
          <w:sz w:val="20"/>
        </w:rPr>
        <w:t xml:space="preserve">, on and after the Termination Date, to the Administrative Agent for distribution to each Class A Lender and the Administrative Agent (ratably, based on the amount then due and owing), all accrued and unpaid Interest, Fees and indemnity payments under </w:t>
      </w:r>
      <w:r>
        <w:rPr>
          <w:rFonts w:ascii="Times New Roman" w:hAnsi="Times New Roman"/>
          <w:sz w:val="20"/>
          <w:u w:val="single"/>
        </w:rPr>
        <w:t>Section 4.02</w:t>
      </w:r>
      <w:r>
        <w:rPr>
          <w:rFonts w:ascii="Times New Roman" w:hAnsi="Times New Roman"/>
          <w:sz w:val="20"/>
        </w:rPr>
        <w:t xml:space="preserve"> due to such Class A Lender and the Administrative Agent for the immediately preceding Interest Period (including any additional amounts or indemnified amounts payable under </w:t>
      </w:r>
      <w:r>
        <w:rPr>
          <w:rFonts w:ascii="Times New Roman" w:hAnsi="Times New Roman"/>
          <w:sz w:val="20"/>
          <w:u w:val="single"/>
        </w:rPr>
        <w:t>Sections 4.03</w:t>
      </w:r>
      <w:r>
        <w:rPr>
          <w:rFonts w:ascii="Times New Roman" w:hAnsi="Times New Roman"/>
          <w:sz w:val="20"/>
        </w:rPr>
        <w:t xml:space="preserve"> and </w:t>
      </w:r>
      <w:r>
        <w:rPr>
          <w:rFonts w:ascii="Times New Roman" w:hAnsi="Times New Roman"/>
          <w:sz w:val="20"/>
          <w:u w:val="single"/>
        </w:rPr>
        <w:t>11.01</w:t>
      </w:r>
      <w:r>
        <w:rPr>
          <w:rFonts w:ascii="Times New Roman" w:hAnsi="Times New Roman"/>
          <w:sz w:val="20"/>
        </w:rPr>
        <w:t xml:space="preserve"> in respect of such payments), plus, if applicable, the amount of any such Interest, Fees and indemnity payments (including any additional amounts or indemnified amounts payable under </w:t>
      </w:r>
      <w:r>
        <w:rPr>
          <w:rFonts w:ascii="Times New Roman" w:hAnsi="Times New Roman"/>
          <w:sz w:val="20"/>
          <w:u w:val="single"/>
        </w:rPr>
        <w:t>Sections 4.03</w:t>
      </w:r>
      <w:r>
        <w:rPr>
          <w:rFonts w:ascii="Times New Roman" w:hAnsi="Times New Roman"/>
          <w:sz w:val="20"/>
        </w:rPr>
        <w:t xml:space="preserve"> and </w:t>
      </w:r>
      <w:r>
        <w:rPr>
          <w:rFonts w:ascii="Times New Roman" w:hAnsi="Times New Roman"/>
          <w:sz w:val="20"/>
          <w:u w:val="single"/>
        </w:rPr>
        <w:t>11.01</w:t>
      </w:r>
      <w:r>
        <w:rPr>
          <w:rFonts w:ascii="Times New Roman" w:hAnsi="Times New Roman"/>
          <w:sz w:val="20"/>
        </w:rPr>
        <w:t xml:space="preserve"> in respect of such payments) payable for any prior Interest Period to the extent such amount has not been distributed to such Class A Lender or the Administrative Agent and (B) </w:t>
      </w:r>
      <w:r>
        <w:rPr>
          <w:rFonts w:ascii="Times New Roman" w:hAnsi="Times New Roman"/>
          <w:sz w:val="20"/>
          <w:u w:val="single"/>
        </w:rPr>
        <w:t>second</w:t>
      </w:r>
      <w:r>
        <w:rPr>
          <w:rFonts w:ascii="Times New Roman" w:hAnsi="Times New Roman"/>
          <w:sz w:val="20"/>
        </w:rPr>
        <w:t xml:space="preserve">, at any time, to the Administrative Agent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distribution to each Lender and other Credit Party (ratably, based on the amount then due and owing), all accrued and unpaid Interest, Fees and indemnity payments under </w:t>
      </w:r>
      <w:r>
        <w:rPr>
          <w:rFonts w:ascii="Times New Roman" w:hAnsi="Times New Roman"/>
          <w:sz w:val="20"/>
          <w:u w:val="single"/>
        </w:rPr>
        <w:t>Section 4.02</w:t>
      </w:r>
      <w:r>
        <w:rPr>
          <w:rFonts w:ascii="Times New Roman" w:hAnsi="Times New Roman"/>
          <w:sz w:val="20"/>
        </w:rPr>
        <w:t xml:space="preserve"> due to such Lender and other Credit Party for the immediately preceding Interest Period (including any additional amounts or indemnified amounts payable under </w:t>
      </w:r>
      <w:r>
        <w:rPr>
          <w:rFonts w:ascii="Times New Roman" w:hAnsi="Times New Roman"/>
          <w:sz w:val="20"/>
          <w:u w:val="single"/>
        </w:rPr>
        <w:t>Sections 4.03</w:t>
      </w:r>
      <w:r>
        <w:rPr>
          <w:rFonts w:ascii="Times New Roman" w:hAnsi="Times New Roman"/>
          <w:sz w:val="20"/>
        </w:rPr>
        <w:t xml:space="preserve"> and </w:t>
      </w:r>
      <w:r>
        <w:rPr>
          <w:rFonts w:ascii="Times New Roman" w:hAnsi="Times New Roman"/>
          <w:sz w:val="20"/>
          <w:u w:val="single"/>
        </w:rPr>
        <w:t>11.01</w:t>
      </w:r>
      <w:r>
        <w:rPr>
          <w:rFonts w:ascii="Times New Roman" w:hAnsi="Times New Roman"/>
          <w:sz w:val="20"/>
        </w:rPr>
        <w:t xml:space="preserve"> in respect of such payments), plus, if applicable, the amount of any such Interest, Fees and indemnity payments (including any additional amounts or indemnified amounts payable under </w:t>
      </w:r>
      <w:r>
        <w:rPr>
          <w:rFonts w:ascii="Times New Roman" w:hAnsi="Times New Roman"/>
          <w:sz w:val="20"/>
          <w:u w:val="single"/>
        </w:rPr>
        <w:t>Sections 4.03</w:t>
      </w:r>
      <w:r>
        <w:rPr>
          <w:rFonts w:ascii="Times New Roman" w:hAnsi="Times New Roman"/>
          <w:sz w:val="20"/>
        </w:rPr>
        <w:t xml:space="preserve"> and </w:t>
      </w:r>
      <w:r>
        <w:rPr>
          <w:rFonts w:ascii="Times New Roman" w:hAnsi="Times New Roman"/>
          <w:sz w:val="20"/>
          <w:u w:val="single"/>
        </w:rPr>
        <w:t>11.01</w:t>
      </w:r>
      <w:r>
        <w:rPr>
          <w:rFonts w:ascii="Times New Roman" w:hAnsi="Times New Roman"/>
          <w:sz w:val="20"/>
        </w:rPr>
        <w:t xml:space="preserve"> in respect of such payments) payable for any prior Interest Period to the extent such amount has not been distributed to such Lender or Credit Party;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b/>
          <w:sz w:val="20"/>
          <w:u w:val="single"/>
        </w:rPr>
        <w:t>third</w:t>
      </w:r>
      <w:r>
        <w:rPr>
          <w:rFonts w:ascii="Times New Roman" w:hAnsi="Times New Roman"/>
          <w:sz w:val="20"/>
        </w:rPr>
        <w:t xml:space="preserve">, as set forth in </w:t>
      </w:r>
      <w:r>
        <w:rPr>
          <w:rFonts w:ascii="Times New Roman" w:hAnsi="Times New Roman"/>
          <w:sz w:val="20"/>
          <w:u w:val="single"/>
        </w:rPr>
        <w:t>clause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or </w:t>
      </w:r>
      <w:r>
        <w:rPr>
          <w:rFonts w:ascii="Times New Roman" w:hAnsi="Times New Roman"/>
          <w:sz w:val="20"/>
          <w:u w:val="single"/>
        </w:rPr>
        <w:t>(D)</w:t>
      </w:r>
      <w:r>
        <w:rPr>
          <w:rFonts w:ascii="Times New Roman" w:hAnsi="Times New Roman"/>
          <w:sz w:val="20"/>
        </w:rPr>
        <w:t xml:space="preserve"> below, as applicable: </w:t>
      </w:r>
    </w:p>
    <w:p>
      <w:pPr>
        <w:pStyle w:val="TextBody"/>
        <w:bidi w:val="0"/>
        <w:spacing w:before="120" w:after="0"/>
        <w:jc w:val="left"/>
        <w:rPr>
          <w:rFonts w:ascii="Times New Roman" w:hAnsi="Times New Roman"/>
          <w:sz w:val="20"/>
        </w:rPr>
      </w:pPr>
      <w:r>
        <w:rPr>
          <w:rFonts w:ascii="Times New Roman" w:hAnsi="Times New Roman"/>
          <w:sz w:val="20"/>
        </w:rPr>
        <w:t xml:space="preserve">(A) at any time that any Borrower Obligations with respect to the Class A Loans remain outstanding, to the extent that a Class A Borrowing Base Deficit exists on such date, to the Administrative Agent for distribution to the Class A Lenders (ratably by Percentages) for the payment of a portion of the outstanding Aggregate Class A Loan Amount at such time, in an aggregate amount equal to the amount necessary to reduce the Class A Borrowing Base Deficit to zero ($0);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first</w:t>
      </w:r>
      <w:r>
        <w:rPr>
          <w:rFonts w:ascii="Times New Roman" w:hAnsi="Times New Roman"/>
          <w:sz w:val="20"/>
        </w:rPr>
        <w:t>, (1) at any time that any Borrower Obligations with respect to the Class A Loans remain outstanding, to the extent that a Borrowing Base Deficit exists on such date, to the Administrative Agent for distribution to the Class A Lenders (ratably by Percentages) for the payment of a portion of the outstanding Aggregate Class A Loan Amount at such time, in an aggregate amount equal to the amount necessary to reduce the Borrowing Base Deficit to zero ($0) and (2) </w:t>
      </w:r>
      <w:r>
        <w:rPr>
          <w:rFonts w:ascii="Times New Roman" w:hAnsi="Times New Roman"/>
          <w:sz w:val="20"/>
          <w:u w:val="single"/>
        </w:rPr>
        <w:t>second</w:t>
      </w:r>
      <w:r>
        <w:rPr>
          <w:rFonts w:ascii="Times New Roman" w:hAnsi="Times New Roman"/>
          <w:sz w:val="20"/>
        </w:rPr>
        <w:t xml:space="preserve">, at any time that no Borrower Obligations with respect to the Class A Loans remain outstanding, to the extent that a Borrowing Base Deficit exists on such date after giving effect to </w:t>
      </w:r>
      <w:r>
        <w:rPr>
          <w:rFonts w:ascii="Times New Roman" w:hAnsi="Times New Roman"/>
          <w:sz w:val="20"/>
          <w:u w:val="single"/>
        </w:rPr>
        <w:t>clause (1)</w:t>
      </w:r>
      <w:r>
        <w:rPr>
          <w:rFonts w:ascii="Times New Roman" w:hAnsi="Times New Roman"/>
          <w:sz w:val="20"/>
        </w:rPr>
        <w:t xml:space="preserve"> above, to the Administrative Agent for distribution to the Class B Lenders (ratably by Percentages) for the payment of a portion of the outstanding Aggregate Class B Term Loan Amount at such time, in an aggregate amount equal to the amount necessary to reduce the Borrowing Base Deficit to zero ($0); </w:t>
      </w:r>
    </w:p>
    <w:p>
      <w:pPr>
        <w:pStyle w:val="TextBody"/>
        <w:bidi w:val="0"/>
        <w:spacing w:before="120" w:after="0"/>
        <w:jc w:val="left"/>
        <w:rPr>
          <w:rFonts w:ascii="Times New Roman" w:hAnsi="Times New Roman"/>
          <w:sz w:val="20"/>
        </w:rPr>
      </w:pPr>
      <w:r>
        <w:rPr>
          <w:rFonts w:ascii="Times New Roman" w:hAnsi="Times New Roman"/>
          <w:sz w:val="20"/>
        </w:rPr>
        <w:t>(C) to the extent that the Termination Date has occurred: (1) </w:t>
      </w:r>
      <w:r>
        <w:rPr>
          <w:rFonts w:ascii="Times New Roman" w:hAnsi="Times New Roman"/>
          <w:sz w:val="20"/>
          <w:u w:val="single"/>
        </w:rPr>
        <w:t>first</w:t>
      </w:r>
      <w:r>
        <w:rPr>
          <w:rFonts w:ascii="Times New Roman" w:hAnsi="Times New Roman"/>
          <w:sz w:val="20"/>
        </w:rPr>
        <w:t>, to the Administrative Agent for distribution to the Class A Lenders (ratably by Percentages) for payment in full in cash of the outstanding Aggregate Class A Loan Amount at such time and (2) </w:t>
      </w:r>
      <w:r>
        <w:rPr>
          <w:rFonts w:ascii="Times New Roman" w:hAnsi="Times New Roman"/>
          <w:sz w:val="20"/>
          <w:u w:val="single"/>
        </w:rPr>
        <w:t>second</w:t>
      </w:r>
      <w:r>
        <w:rPr>
          <w:rFonts w:ascii="Times New Roman" w:hAnsi="Times New Roman"/>
          <w:sz w:val="20"/>
        </w:rPr>
        <w:t xml:space="preserve">, to the Administrative Agent for distribution to the Class B Lenders (ratably by Percentages) for payment in full in cash of the outstanding Aggregate Class B Term Loan Amount at such time; or </w:t>
      </w:r>
    </w:p>
    <w:p>
      <w:pPr>
        <w:pStyle w:val="TextBody"/>
        <w:bidi w:val="0"/>
        <w:spacing w:before="120" w:after="0"/>
        <w:jc w:val="left"/>
        <w:rPr>
          <w:rFonts w:ascii="Times New Roman" w:hAnsi="Times New Roman"/>
          <w:sz w:val="20"/>
        </w:rPr>
      </w:pPr>
      <w:r>
        <w:rPr>
          <w:rFonts w:ascii="Times New Roman" w:hAnsi="Times New Roman"/>
          <w:sz w:val="20"/>
        </w:rPr>
        <w:t xml:space="preserve">(D) at the election of the Borrower and in accordance with </w:t>
      </w:r>
      <w:r>
        <w:rPr>
          <w:rFonts w:ascii="Times New Roman" w:hAnsi="Times New Roman"/>
          <w:sz w:val="20"/>
          <w:u w:val="single"/>
        </w:rPr>
        <w:t>Section 2.02(d)</w:t>
      </w:r>
      <w:r>
        <w:rPr>
          <w:rFonts w:ascii="Times New Roman" w:hAnsi="Times New Roman"/>
          <w:sz w:val="20"/>
        </w:rPr>
        <w:t>, to the payment of all or any portion of the Aggregate Loan Amount at such time,</w:t>
      </w:r>
      <w:r>
        <w:rPr>
          <w:rFonts w:ascii="Times New Roman" w:hAnsi="Times New Roman"/>
          <w:sz w:val="20"/>
          <w:u w:val="single"/>
        </w:rPr>
        <w:t xml:space="preserve"> first</w:t>
      </w:r>
      <w:r>
        <w:rPr>
          <w:rFonts w:ascii="Times New Roman" w:hAnsi="Times New Roman"/>
          <w:sz w:val="20"/>
        </w:rPr>
        <w:t xml:space="preserve">, (1) at any time that any Borrower Obligations with respect to the Class A Loans remain outstanding, to the Administrative Agent for distribution to the Class A Lenders (ratably by Percentages) for the payment of a portion of the outstanding Aggregate Class A Loan Amount at such time, in an aggregate amount equal to the amount elected by the Borrower in accordance with </w:t>
      </w:r>
      <w:r>
        <w:rPr>
          <w:rFonts w:ascii="Times New Roman" w:hAnsi="Times New Roman"/>
          <w:sz w:val="20"/>
          <w:u w:val="single"/>
        </w:rPr>
        <w:t>Section 2.02(d)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and (2) </w:t>
      </w:r>
      <w:r>
        <w:rPr>
          <w:rFonts w:ascii="Times New Roman" w:hAnsi="Times New Roman"/>
          <w:sz w:val="20"/>
          <w:u w:val="single"/>
        </w:rPr>
        <w:t>second</w:t>
      </w:r>
      <w:r>
        <w:rPr>
          <w:rFonts w:ascii="Times New Roman" w:hAnsi="Times New Roman"/>
          <w:sz w:val="20"/>
        </w:rPr>
        <w:t xml:space="preserve">, at any time that no Borrower Obligations with respect to the Class A Loans remain outstanding at such time, to the Administrative Agent for distribution to the Class B Lenders (ratably by Percentages) for the payment of a portion of the outstanding Aggregate Class B Term Loan Amount at such time, in an aggregate amount equal to the amount elected by the Borrower in accordance with </w:t>
      </w:r>
      <w:r>
        <w:rPr>
          <w:rFonts w:ascii="Times New Roman" w:hAnsi="Times New Roman"/>
          <w:sz w:val="20"/>
          <w:u w:val="single"/>
        </w:rPr>
        <w:t>Section 2.02(d)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b/>
          <w:sz w:val="20"/>
          <w:u w:val="single"/>
        </w:rPr>
        <w:t>fourth</w:t>
      </w:r>
      <w:r>
        <w:rPr>
          <w:rFonts w:ascii="Times New Roman" w:hAnsi="Times New Roman"/>
          <w:sz w:val="20"/>
        </w:rPr>
        <w:t>, to the Administrative Agent for distribution (a) </w:t>
      </w:r>
      <w:r>
        <w:rPr>
          <w:rFonts w:ascii="Times New Roman" w:hAnsi="Times New Roman"/>
          <w:sz w:val="20"/>
          <w:u w:val="single"/>
        </w:rPr>
        <w:t>first</w:t>
      </w:r>
      <w:r>
        <w:rPr>
          <w:rFonts w:ascii="Times New Roman" w:hAnsi="Times New Roman"/>
          <w:sz w:val="20"/>
        </w:rPr>
        <w:t>, to the Class A Lenders (ratably, based on the amount due and owing at such time), for the payment of all other Class A Borrower Obligations then due and owing by the Borrower to the Class A Lenders (including any Early Termination Payment) and (B) </w:t>
      </w:r>
      <w:r>
        <w:rPr>
          <w:rFonts w:ascii="Times New Roman" w:hAnsi="Times New Roman"/>
          <w:sz w:val="20"/>
          <w:u w:val="single"/>
        </w:rPr>
        <w:t>second</w:t>
      </w:r>
      <w:r>
        <w:rPr>
          <w:rFonts w:ascii="Times New Roman" w:hAnsi="Times New Roman"/>
          <w:sz w:val="20"/>
        </w:rPr>
        <w:t xml:space="preserve">, to the Class B Lenders (ratably, based on the amount due and owing at such time), for the payment of all other Class </w:t>
      </w:r>
      <w:r>
        <w:rPr>
          <w:rFonts w:ascii="Times New Roman" w:hAnsi="Times New Roman"/>
          <w:strike/>
          <w:color w:val="FF0000"/>
          <w:sz w:val="20"/>
        </w:rPr>
        <w:t>A</w:t>
      </w:r>
      <w:r>
        <w:rPr>
          <w:rFonts w:ascii="Times New Roman" w:hAnsi="Times New Roman"/>
          <w:color w:val="0000FF"/>
          <w:sz w:val="20"/>
          <w:u w:val="single"/>
          <w:bdr w:val="double" w:sz="2" w:space="1" w:color="000000"/>
        </w:rPr>
        <w:t>B</w:t>
      </w:r>
      <w:r>
        <w:rPr>
          <w:rFonts w:ascii="Times New Roman" w:hAnsi="Times New Roman"/>
          <w:sz w:val="20"/>
        </w:rPr>
        <w:t xml:space="preserve"> Borrower Obligations then due and owing by the Borrower to the Class B Lenders (including any Class B Prepayment Premium);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b/>
          <w:sz w:val="20"/>
          <w:u w:val="single"/>
        </w:rPr>
        <w:t>fifth</w:t>
      </w:r>
      <w:r>
        <w:rPr>
          <w:rFonts w:ascii="Times New Roman" w:hAnsi="Times New Roman"/>
          <w:sz w:val="20"/>
        </w:rPr>
        <w:t xml:space="preserve">, to the Originators (ratably, based on the amount due and owing at such time), any payments of principal or interest then due under the Subordinated Loans; and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b/>
          <w:sz w:val="20"/>
          <w:u w:val="single"/>
        </w:rPr>
        <w:t>sixth</w:t>
      </w:r>
      <w:r>
        <w:rPr>
          <w:rFonts w:ascii="Times New Roman" w:hAnsi="Times New Roman"/>
          <w:sz w:val="20"/>
        </w:rPr>
        <w:t xml:space="preserve">, the balance, if any, to be paid to the Borrower for its own account. </w:t>
      </w:r>
    </w:p>
    <w:p>
      <w:pPr>
        <w:pStyle w:val="TextBody"/>
        <w:bidi w:val="0"/>
        <w:spacing w:before="120" w:after="0"/>
        <w:jc w:val="left"/>
        <w:rPr>
          <w:rFonts w:ascii="Times New Roman" w:hAnsi="Times New Roman"/>
          <w:sz w:val="20"/>
        </w:rPr>
      </w:pPr>
      <w:r>
        <w:rPr>
          <w:rFonts w:ascii="Times New Roman" w:hAnsi="Times New Roman"/>
          <w:sz w:val="20"/>
        </w:rPr>
        <w:t xml:space="preserve">(b) All payments or distributions to be made by each Servicer, the Borrower and any other Person to any Credit Party (or its respective related Secured Parties), shall be paid or distributed to the Administrative Agent for distribution to such Credit Party. Notwithstanding anything to the contrary set forth in this </w:t>
      </w:r>
      <w:r>
        <w:rPr>
          <w:rFonts w:ascii="Times New Roman" w:hAnsi="Times New Roman"/>
          <w:sz w:val="20"/>
          <w:u w:val="single"/>
        </w:rPr>
        <w:t>Section 3.01</w:t>
      </w:r>
      <w:r>
        <w:rPr>
          <w:rFonts w:ascii="Times New Roman" w:hAnsi="Times New Roman"/>
          <w:sz w:val="20"/>
        </w:rPr>
        <w:t xml:space="preserve">, the Administrative Agent shall have no obligation to distribute or pay any amount under this </w:t>
      </w:r>
      <w:r>
        <w:rPr>
          <w:rFonts w:ascii="Times New Roman" w:hAnsi="Times New Roman"/>
          <w:sz w:val="20"/>
          <w:u w:val="single"/>
        </w:rPr>
        <w:t>Section 3.01</w:t>
      </w:r>
      <w:r>
        <w:rPr>
          <w:rFonts w:ascii="Times New Roman" w:hAnsi="Times New Roman"/>
          <w:sz w:val="20"/>
        </w:rPr>
        <w:t xml:space="preserve"> except to the extent actually received by the Administrative Agent. Each payment by the Servicer or the Borrower to the Administrative Agent for the account of any Credit Party hereunder shall be deemed to constitute payment by the Servicer or the Borrower directly to such Credit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any such payment by the Servicer or Issuer is required to be returned to the Servicer or Borrower for any reason whatsoever, then the Servicer’s or Borrower’s obligation to such Credit Party with respect to such payment shall be deemed to be automatically reinstated. Additionally, each Credit Party hereby covenants and agrees to provide timely and accurate responses to each of the Administrative Agent’s requests for information necessary for the Administrative Agent to make the allocations to the Credit Parties required to be made by the Administrative Agent hereunder, including the applicable account of each Credit Party for which amounts should be distributed. </w:t>
      </w:r>
    </w:p>
    <w:p>
      <w:pPr>
        <w:pStyle w:val="TextBody"/>
        <w:bidi w:val="0"/>
        <w:spacing w:before="120" w:after="0"/>
        <w:jc w:val="left"/>
        <w:rPr>
          <w:rFonts w:ascii="Times New Roman" w:hAnsi="Times New Roman"/>
          <w:sz w:val="20"/>
        </w:rPr>
      </w:pPr>
      <w:r>
        <w:rPr>
          <w:rFonts w:ascii="Times New Roman" w:hAnsi="Times New Roman"/>
          <w:sz w:val="20"/>
        </w:rPr>
        <w:t xml:space="preserve">(c) If and to the extent the Administrative Agent or any other Secured Party shall be required for any reason to pay over to any Person (including any Obligor or any trustee, receiver, custodian or similar official in any Relief Proceeding) any amount received on its behalf hereunder, such amount shall be deemed not to have been so received but rather to have been retained by the Borrower and, accordingly, the Administrative Agent or such other Secured Party, as the case may be, shall have a claim against the Borrower for such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b/>
          <w:sz w:val="20"/>
          <w:u w:val="single"/>
        </w:rPr>
        <w:t>For the purposes of this Section 3.01</w:t>
      </w:r>
      <w:r>
        <w:rPr>
          <w:rFonts w:ascii="Times New Roman" w:hAnsi="Times New Roman"/>
          <w:sz w:val="20"/>
          <w:u w:val="single"/>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If on any day the Outstanding Balance of any Pool Receivable is reduced or cancelled as a result of (A) any defective, rejected, returned, repossessed or foreclosed goods or services, (B) any revision, cancellation, allowance, rebate, credit memo, discount or other adjustment made by any Borrower-Related Party or any Affiliate thereof, (C) any setoff, counterclaim or dispute between any Borrower-Related Party or any Affiliate thereof, and an Obligor or (D) a Settlement Agent nets or sets off any amounts owed by any Borrower-Related Party or any of its Affiliates against a Settlement Agent’s obligation to remit Collections to a Collection Account, the Borrower shall be deemed to have received on such day a Collection of such Pool Receivable in an amount equal to the positive difference between (A) such Pool Receivable’s Outstanding Balance prior to such reduction and (B) its Outstanding Balance after such reduction, and the Borrower shall within two (2) Business Days pay to a Collection Account or as otherwise directed by the Administrative Agent at such time, for the benefit of the Credit Parties for application pursuant to </w:t>
      </w:r>
      <w:r>
        <w:rPr>
          <w:rFonts w:ascii="Times New Roman" w:hAnsi="Times New Roman"/>
          <w:sz w:val="20"/>
          <w:u w:val="single"/>
        </w:rPr>
        <w:t>Section 3.01(a)</w:t>
      </w:r>
      <w:r>
        <w:rPr>
          <w:rFonts w:ascii="Times New Roman" w:hAnsi="Times New Roman"/>
          <w:sz w:val="20"/>
        </w:rPr>
        <w:t xml:space="preserve">, an amount equal to (x) if such reduction occurs prior to the Termination Date and no Event of Default, Financial Covenant Event or Potential Default has occurred and is continuing, the lesser of (I) the sum of all deemed Collections with respect to such reduction and (II) an amount necessary to eliminate any Borrowing Base Deficit or Class A Borrowing Base Deficit that exists at such time and (y) if such reduction occurs on or after the Termination Date or at any time when an Event of Default, Financial Covenant Event or Potential Default has occurred and is continuing, the sum of all deemed Collections with respect to such reduction (Collections deemed to have been received pursuant to this </w:t>
      </w:r>
      <w:r>
        <w:rPr>
          <w:rFonts w:ascii="Times New Roman" w:hAnsi="Times New Roman"/>
          <w:sz w:val="20"/>
          <w:u w:val="single"/>
        </w:rPr>
        <w:t>Section 3.01(d)(i)</w:t>
      </w:r>
      <w:r>
        <w:rPr>
          <w:rFonts w:ascii="Times New Roman" w:hAnsi="Times New Roman"/>
          <w:sz w:val="20"/>
        </w:rPr>
        <w:t xml:space="preserve"> are hereinafter sometimes referred to as “</w:t>
      </w:r>
      <w:r>
        <w:rPr>
          <w:rFonts w:ascii="Times New Roman" w:hAnsi="Times New Roman"/>
          <w:sz w:val="20"/>
          <w:u w:val="single"/>
        </w:rPr>
        <w:t>Dilution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if (A) any representation or warranty in </w:t>
      </w:r>
      <w:r>
        <w:rPr>
          <w:rFonts w:ascii="Times New Roman" w:hAnsi="Times New Roman"/>
          <w:sz w:val="20"/>
          <w:u w:val="single"/>
        </w:rPr>
        <w:t>Section 6.01</w:t>
      </w:r>
      <w:r>
        <w:rPr>
          <w:rFonts w:ascii="Times New Roman" w:hAnsi="Times New Roman"/>
          <w:sz w:val="20"/>
        </w:rPr>
        <w:t xml:space="preserve"> is not true with respect to any Pool Receivable at the time made or (B) any Receivable included in any Pool Report as an Eligible Receivable or in any calculation of the Net Receivables Pool Balance as an Eligible Receivable fails to be an Eligible Receivable at the time of such inclusion, then, in either case, the Borrower shall be deemed to have received on such day a Collection of such Pool Receivable’s Outstanding Balance in full, and the Borrower shall within two (2) Business Days pay to a Collection Account or as otherwise directed by the Administrative Agent at such time, for the benefit of the Credit Parties for application pursuant to </w:t>
      </w:r>
      <w:r>
        <w:rPr>
          <w:rFonts w:ascii="Times New Roman" w:hAnsi="Times New Roman"/>
          <w:sz w:val="20"/>
          <w:u w:val="single"/>
        </w:rPr>
        <w:t>Section 3.01(a)</w:t>
      </w:r>
      <w:r>
        <w:rPr>
          <w:rFonts w:ascii="Times New Roman" w:hAnsi="Times New Roman"/>
          <w:sz w:val="20"/>
        </w:rPr>
        <w:t xml:space="preserve">, an amount equal to (x) if such breach occurs prior to the Termination Date and no Event of Default, Financial Covenant Event or Potential Default has occurred and is continuing, the lesser of (I) the sum of all deemed Collections with respect to such breach and (II) an amount necessary to eliminate any Borrowing Base Deficit or Class A Borrowing Base Deficit that exists at such time and (y) if such breach occurs on or after the Termination Date or at any time when an Event of Default, Financial Covenant Event or Potential Default has occurred and is continuing, the sum of all deemed Collections with respect to such breach (Collections deemed to have been received pursuant to </w:t>
      </w:r>
      <w:r>
        <w:rPr>
          <w:rFonts w:ascii="Times New Roman" w:hAnsi="Times New Roman"/>
          <w:sz w:val="20"/>
          <w:u w:val="single"/>
        </w:rPr>
        <w:t>Sections 3.01(d)(i)</w:t>
      </w:r>
      <w:r>
        <w:rPr>
          <w:rFonts w:ascii="Times New Roman" w:hAnsi="Times New Roman"/>
          <w:sz w:val="20"/>
        </w:rPr>
        <w:t xml:space="preserve"> and </w:t>
      </w:r>
      <w:r>
        <w:rPr>
          <w:rFonts w:ascii="Times New Roman" w:hAnsi="Times New Roman"/>
          <w:sz w:val="20"/>
          <w:u w:val="single"/>
        </w:rPr>
        <w:t>3.01(d)(ii)</w:t>
      </w:r>
      <w:r>
        <w:rPr>
          <w:rFonts w:ascii="Times New Roman" w:hAnsi="Times New Roman"/>
          <w:sz w:val="20"/>
        </w:rPr>
        <w:t>, including any Dilution, are hereinafter sometimes referred to as “</w:t>
      </w:r>
      <w:r>
        <w:rPr>
          <w:rFonts w:ascii="Times New Roman" w:hAnsi="Times New Roman"/>
          <w:sz w:val="20"/>
          <w:u w:val="single"/>
        </w:rPr>
        <w:t>Deemed Collections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except as provided in </w:t>
      </w:r>
      <w:r>
        <w:rPr>
          <w:rFonts w:ascii="Times New Roman" w:hAnsi="Times New Roman"/>
          <w:sz w:val="20"/>
          <w:u w:val="single"/>
        </w:rPr>
        <w:t>clauses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above or otherwise required by applicable Law or the relevant Contract, all Collections received from an Obligor of any Receivable (or from a Credit Insurer if applicable) shall be applied to the Receivables of such Obligor in the order of the age of such Receivables, starting with the oldest such Receivable, unless such Obligor designates in writing its payment for application to specific Receivables; </w:t>
      </w:r>
    </w:p>
    <w:p>
      <w:pPr>
        <w:pStyle w:val="TextBody"/>
        <w:bidi w:val="0"/>
        <w:spacing w:before="120" w:after="0"/>
        <w:jc w:val="left"/>
        <w:rPr>
          <w:rFonts w:ascii="Times New Roman" w:hAnsi="Times New Roman"/>
          <w:sz w:val="20"/>
        </w:rPr>
      </w:pPr>
      <w:r>
        <w:rPr>
          <w:rFonts w:ascii="Times New Roman" w:hAnsi="Times New Roman"/>
          <w:sz w:val="20"/>
        </w:rPr>
        <w:t xml:space="preserve">(iv) if and to the extent the Administrative Agent or any other Secured Party shall be required for any reason to pay over to an Obligor (or any trustee, receiver, custodian or similar official in any Relief Proceeding) any amount received by it hereunder, such amount shall be deemed not to have been so received by such Person but rather to have been retained by the Borrower and, accordingly, such Person shall have a claim against the Borrower for such amount, payable when and to the extent that any distribution from or on behalf of such Obligor is made in respect thereof; and </w:t>
      </w:r>
    </w:p>
    <w:p>
      <w:pPr>
        <w:pStyle w:val="TextBody"/>
        <w:bidi w:val="0"/>
        <w:spacing w:before="120" w:after="0"/>
        <w:jc w:val="left"/>
        <w:rPr>
          <w:rFonts w:ascii="Times New Roman" w:hAnsi="Times New Roman"/>
          <w:sz w:val="20"/>
        </w:rPr>
      </w:pPr>
      <w:r>
        <w:rPr>
          <w:rFonts w:ascii="Times New Roman" w:hAnsi="Times New Roman"/>
          <w:sz w:val="20"/>
        </w:rPr>
        <w:t xml:space="preserve">(v) the Servicers shall maintain at all times (or cause the Borrower to maintain) a cash balance that is not less than the amount required under Section 5.03(a) to be held by the Servicers in trust and, for the avoidance of doubt, if any Servicer purports to release Collections to any Originator in excess of the amounts owed by the Borrower for the purchase price of sold Receivables or under any Subordinated Loans, (A) such Collections shall not be subject to such Reinvestment and shall remain the property of the Borrower and (B) the Servicers shall (or shall cause the Borrower to) apply an amount equal to such Collections in accordance Section 3.01(a) of this Agreement on the applicable Settlement Date. </w:t>
      </w:r>
    </w:p>
    <w:p>
      <w:pPr>
        <w:pStyle w:val="TextBody"/>
        <w:bidi w:val="0"/>
        <w:spacing w:before="240" w:after="0"/>
        <w:jc w:val="left"/>
        <w:rPr>
          <w:rFonts w:ascii="Times New Roman" w:hAnsi="Times New Roman"/>
          <w:sz w:val="20"/>
        </w:rPr>
      </w:pPr>
      <w:r>
        <w:rPr>
          <w:rFonts w:ascii="Times New Roman" w:hAnsi="Times New Roman"/>
          <w:sz w:val="20"/>
        </w:rPr>
        <w:t xml:space="preserve">Any breach of representation or warranty that gives rise to an obligation of the Borrower to remit Deemed Collections shall be cured by the receipt of such Deemed Collections in accordance with the preceding </w:t>
      </w:r>
      <w:r>
        <w:rPr>
          <w:rFonts w:ascii="Times New Roman" w:hAnsi="Times New Roman"/>
          <w:sz w:val="20"/>
          <w:u w:val="single"/>
        </w:rPr>
        <w:t>clause (ii)</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 xml:space="preserve">SECTION 3.02 </w:t>
      </w:r>
      <w:r>
        <w:rPr>
          <w:rFonts w:ascii="Times New Roman" w:hAnsi="Times New Roman"/>
          <w:b/>
          <w:sz w:val="20"/>
          <w:u w:val="single"/>
        </w:rPr>
        <w:t>Payments and Computations, Etc</w:t>
      </w:r>
      <w:r>
        <w:rPr>
          <w:rFonts w:ascii="Times New Roman" w:hAnsi="Times New Roman"/>
          <w:b/>
          <w:sz w:val="20"/>
        </w:rPr>
        <w:t>.</w:t>
      </w:r>
      <w:r>
        <w:rPr>
          <w:rFonts w:ascii="Times New Roman" w:hAnsi="Times New Roman"/>
          <w:sz w:val="20"/>
        </w:rPr>
        <w:t xml:space="preserve"> All amounts to be paid by the Borrower or the Servicers to any Secured Party hereunder shall be paid no later than </w:t>
      </w:r>
      <w:r>
        <w:rPr>
          <w:rFonts w:ascii="Times New Roman" w:hAnsi="Times New Roman"/>
          <w:strike/>
          <w:color w:val="FF0000"/>
          <w:sz w:val="20"/>
        </w:rPr>
        <w:t>12:00 p.m.</w:t>
      </w:r>
      <w:r>
        <w:rPr>
          <w:rFonts w:ascii="Times New Roman" w:hAnsi="Times New Roman"/>
          <w:color w:val="0000FF"/>
          <w:sz w:val="20"/>
          <w:u w:val="single"/>
          <w:bdr w:val="double" w:sz="2" w:space="1" w:color="000000"/>
        </w:rPr>
        <w:t>12:00 noon</w:t>
      </w:r>
      <w:r>
        <w:rPr>
          <w:rFonts w:ascii="Times New Roman" w:hAnsi="Times New Roman"/>
          <w:sz w:val="20"/>
        </w:rPr>
        <w:t xml:space="preserve"> Eastern Time on the day when due in same day funds to account designated by the Administrative Agent for distribution to the applicable party to which such amounts are due. Unless the Administrative Agent shall have received notice from the Borrower prior to the date on which any payment is due to the Administrative Agent for the account of any Credit Parties hereunder that the Borrower will not make such payment (including because Collections are not available therefor), the Administrative Agent may assume that the Borrower has made or will make such payment on such date in accordance herewith and may (but shall not be obligated to), in reliance upon such assumption, distribute to the Credit Parties the amount due. In such event, if the Borrower has not in fact made such payment, then each Credit Party severally agrees to repay to the Administrative Agent forthwith on demand the amount so distributed to such Credit Party,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 </w:t>
      </w:r>
    </w:p>
    <w:p>
      <w:pPr>
        <w:pStyle w:val="TextBody"/>
        <w:bidi w:val="0"/>
        <w:spacing w:before="120" w:after="0"/>
        <w:jc w:val="left"/>
        <w:rPr>
          <w:rFonts w:ascii="Times New Roman" w:hAnsi="Times New Roman"/>
          <w:sz w:val="20"/>
        </w:rPr>
      </w:pPr>
      <w:r>
        <w:rPr>
          <w:rFonts w:ascii="Times New Roman" w:hAnsi="Times New Roman"/>
          <w:sz w:val="20"/>
        </w:rPr>
        <w:t>(a) Each of the Borrower and each Servicer shall (or shall direct the Borrower to), severally and not jointly, to the extent permitted by applicable Law, pay interest on any amount not paid or deposited by it when due hereunder, at an interest rate per annum equal to 2.50% </w:t>
      </w:r>
      <w:r>
        <w:rPr>
          <w:rFonts w:ascii="Times New Roman" w:hAnsi="Times New Roman"/>
          <w:sz w:val="20"/>
          <w:u w:val="single"/>
        </w:rPr>
        <w:t>per annum</w:t>
      </w:r>
      <w:r>
        <w:rPr>
          <w:rFonts w:ascii="Times New Roman" w:hAnsi="Times New Roman"/>
          <w:sz w:val="20"/>
        </w:rPr>
        <w:t xml:space="preserve"> above the Base Rate, payable on demand.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All computations of interest under </w:t>
      </w:r>
      <w:r>
        <w:rPr>
          <w:rFonts w:ascii="Times New Roman" w:hAnsi="Times New Roman"/>
          <w:sz w:val="20"/>
          <w:u w:val="single"/>
        </w:rPr>
        <w:t>subsection (b)</w:t>
      </w:r>
      <w:r>
        <w:rPr>
          <w:rFonts w:ascii="Times New Roman" w:hAnsi="Times New Roman"/>
          <w:sz w:val="20"/>
        </w:rPr>
        <w:t xml:space="preserve"> above and all computations of Interest, Fees and other amounts hereunder shall be made on the basis of a year of 360 days (or, in the case of amounts determined by reference to the Base Rate, 365 or 366 days, as applicable) for the actual number of days (including the first but excluding the last day) elapsed. Whenever any payment or deposit to be made hereunder shall be due on a day other than a Business Day, such payment or deposit shall be made on the next succeeding Business Day and such extension of time shall be included in the computation of such payment or deposit.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u w:val="single"/>
        </w:rPr>
        <w:t>Payments in Dollars</w:t>
      </w:r>
      <w:r>
        <w:rPr>
          <w:rFonts w:ascii="Times New Roman" w:hAnsi="Times New Roman"/>
          <w:sz w:val="20"/>
        </w:rPr>
        <w:t xml:space="preserve">. All Principal, Interest, Fees and other amounts from time to time payable to the Credit Parties hereunder shall be repaid to the applicable Credit Parties from time to time in Dollars.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sz w:val="20"/>
          <w:u w:val="single"/>
        </w:rPr>
        <w:t>Application of Collections by Currency</w:t>
      </w:r>
      <w:r>
        <w:rPr>
          <w:rFonts w:ascii="Times New Roman" w:hAnsi="Times New Roman"/>
          <w:sz w:val="20"/>
        </w:rPr>
        <w:t xml:space="preserve">. In making the distributions and payments out of Collections hereunder and in setting aside and reserving Collections for future distributions and payments hereunder (including, without limitation, the distribution of Collections pursuant to </w:t>
      </w:r>
      <w:r>
        <w:rPr>
          <w:rFonts w:ascii="Times New Roman" w:hAnsi="Times New Roman"/>
          <w:sz w:val="20"/>
          <w:u w:val="single"/>
        </w:rPr>
        <w:t>Section 3.01(a)</w:t>
      </w:r>
      <w:r>
        <w:rPr>
          <w:rFonts w:ascii="Times New Roman" w:hAnsi="Times New Roman"/>
          <w:sz w:val="20"/>
        </w:rPr>
        <w:t xml:space="preserve">), the Servicers shall, or direct the Borrower to, to the extent Collections are available therefor and subject to any applicable priorities of payment set forth herein (including under </w:t>
      </w:r>
      <w:r>
        <w:rPr>
          <w:rFonts w:ascii="Times New Roman" w:hAnsi="Times New Roman"/>
          <w:sz w:val="20"/>
          <w:u w:val="single"/>
        </w:rPr>
        <w:t>Section 3.01(a)</w:t>
      </w:r>
      <w:r>
        <w:rPr>
          <w:rFonts w:ascii="Times New Roman" w:hAnsi="Times New Roman"/>
          <w:sz w:val="20"/>
        </w:rPr>
        <w:t xml:space="preserve">), (i) first, apply available Collections in a particular Alternative Currency to amounts distributable or payable in such Alternative Currency, and (ii) second, to the extent that available Collections in a particular Alternative Currency are not sufficient to distribute, pay, set aside or reserve for amounts distributable or payable in such Alternative Currency, apply any excess Collections received in another Alternative Currency to such amounts after converting such Collections to the applicable Alternative Currency pursuant to </w:t>
      </w:r>
      <w:r>
        <w:rPr>
          <w:rFonts w:ascii="Times New Roman" w:hAnsi="Times New Roman"/>
          <w:sz w:val="20"/>
          <w:u w:val="single"/>
        </w:rPr>
        <w:t>clause (g)</w:t>
      </w:r>
      <w:r>
        <w:rPr>
          <w:rFonts w:ascii="Times New Roman" w:hAnsi="Times New Roman"/>
          <w:sz w:val="20"/>
        </w:rPr>
        <w:t xml:space="preserve"> below.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b/>
          <w:sz w:val="20"/>
          <w:u w:val="single"/>
        </w:rPr>
        <w:t>Conversion of Currencies</w:t>
      </w:r>
      <w:r>
        <w:rPr>
          <w:rFonts w:ascii="Times New Roman" w:hAnsi="Times New Roman"/>
          <w:sz w:val="20"/>
        </w:rPr>
        <w:t xml:space="preserve">. On any day when any computation or calculation hereunder requires the aggregation of amounts denominated in more than one currency, all amounts that are denominated in an Alternative Currency shall be converted to the Dollar Equivalent on such day.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b/>
          <w:sz w:val="20"/>
          <w:u w:val="single"/>
        </w:rPr>
        <w:t>Currency Conversion</w:t>
      </w:r>
      <w:r>
        <w:rPr>
          <w:rFonts w:ascii="Times New Roman" w:hAnsi="Times New Roman"/>
          <w:sz w:val="20"/>
          <w:u w:val="single"/>
        </w:rPr>
        <w:t>.</w:t>
      </w:r>
      <w:r>
        <w:rPr>
          <w:rFonts w:ascii="Times New Roman" w:hAnsi="Times New Roman"/>
          <w:sz w:val="20"/>
        </w:rPr>
        <w:t xml:space="preserve"> If on any Settlement Date or any other day a payment is due and payable hereunder it is necessary for funds in one currency to be converted into any other currency in order to make any payment or distribution required to be made hereunder, the Borrower (or the Servicers on its behalf) shall solicit offer quotations from at least two (2) foreign exchange dealers reasonably acceptable to the Administrative Agent for effecting such exchange and shall select the quotation which provides for the best exchange rate. The Borrower (or the Servicers on its behalf) shall effect such exchange on such Settlement Date or other day, as the case may be. Notwithstanding the foregoing, if the Administrative Agent has obtained exclusive control of any Collection Accounts or if an Event of Default or Financial Covenant Event has occurred and is continuing, the Administrative Agent shall have the right to convert Collections denominated in any currency in order to make such payments of distributions due in another currency in accordance with the Administrative Agent’s customary practices for currency conversions. Any loss, cost or expense incurred in connection with any such conversion shall be for the account of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b/>
          <w:sz w:val="20"/>
          <w:u w:val="single"/>
        </w:rPr>
        <w:t>No Circumvention</w:t>
      </w:r>
      <w:r>
        <w:rPr>
          <w:rFonts w:ascii="Times New Roman" w:hAnsi="Times New Roman"/>
          <w:sz w:val="20"/>
        </w:rPr>
        <w:t xml:space="preserve">. None of Borrower, Servicer, any Lender Representative or any Lender shall willfully or knowingly take any action, or cause any other Person to take any action, that would impair or circumvent the intended priority of distributions set forth in </w:t>
      </w:r>
      <w:r>
        <w:rPr>
          <w:rFonts w:ascii="Times New Roman" w:hAnsi="Times New Roman"/>
          <w:sz w:val="20"/>
          <w:u w:val="single"/>
        </w:rPr>
        <w:t>Section 3.01(a)</w:t>
      </w:r>
      <w:r>
        <w:rPr>
          <w:rFonts w:ascii="Times New Roman" w:hAnsi="Times New Roman"/>
          <w:sz w:val="20"/>
        </w:rPr>
        <w:t xml:space="preserve"> or the subordination provisions thereof. </w:t>
      </w:r>
    </w:p>
    <w:p>
      <w:pPr>
        <w:pStyle w:val="TextBody"/>
        <w:bidi w:val="0"/>
        <w:spacing w:before="360" w:after="0"/>
        <w:jc w:val="left"/>
        <w:rPr>
          <w:rFonts w:ascii="Times New Roman" w:hAnsi="Times New Roman"/>
          <w:sz w:val="20"/>
        </w:rPr>
      </w:pPr>
      <w:r>
        <w:rPr>
          <w:rFonts w:ascii="Times New Roman" w:hAnsi="Times New Roman"/>
          <w:sz w:val="20"/>
        </w:rPr>
        <w:t xml:space="preserve">SECTION 3.03 </w:t>
      </w:r>
      <w:r>
        <w:rPr>
          <w:rFonts w:ascii="Times New Roman" w:hAnsi="Times New Roman"/>
          <w:b/>
          <w:sz w:val="20"/>
          <w:u w:val="single"/>
        </w:rPr>
        <w:t>Sharing of Payments by Lenders</w:t>
      </w:r>
      <w:r>
        <w:rPr>
          <w:rFonts w:ascii="Times New Roman" w:hAnsi="Times New Roman"/>
          <w:sz w:val="20"/>
        </w:rPr>
        <w:t xml:space="preserve">. If any Lender shall, by exercising any right of setoff, counterclaim or banker’s lien or other any right, by receipt of voluntary payment, by realization upon security, or by any other non-pro rata source, obtain payment in respect of any principal of or interest on any of its Loans or Principal or other obligations hereunder resulting in such Lender’s receiving payment of a proportion of the aggregate amount of its Principal and accrued Interest thereon or other such obligations greater than the pro-rata share of the amount such Lender is entitled thereto, then the Lender receiving such greater proportion shall (a) notify the Administrative Agent of such fact, and (b) purchase (for cash at face value) participations in the Loans (and related Principal)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(i) if any such participations are purchased and all or any portion of the payment giving rise thereto is recovered, such participations shall be rescinded and the purchase price restored to the extent of such recovery, together with interest or other amounts, if any, required by Law (including court order) to be paid by the Lender or the holder making such purchase; and </w:t>
      </w:r>
    </w:p>
    <w:p>
      <w:pPr>
        <w:pStyle w:val="TextBody"/>
        <w:bidi w:val="0"/>
        <w:spacing w:before="120" w:after="0"/>
        <w:jc w:val="left"/>
        <w:rPr>
          <w:rFonts w:ascii="Times New Roman" w:hAnsi="Times New Roman"/>
          <w:sz w:val="20"/>
        </w:rPr>
      </w:pPr>
      <w:r>
        <w:rPr>
          <w:rFonts w:ascii="Times New Roman" w:hAnsi="Times New Roman"/>
          <w:sz w:val="20"/>
        </w:rPr>
        <w:t xml:space="preserve">(ii) the provisions of this </w:t>
      </w:r>
      <w:r>
        <w:rPr>
          <w:rFonts w:ascii="Times New Roman" w:hAnsi="Times New Roman"/>
          <w:sz w:val="20"/>
          <w:u w:val="single"/>
        </w:rPr>
        <w:t>Section 3.03</w:t>
      </w:r>
      <w:r>
        <w:rPr>
          <w:rFonts w:ascii="Times New Roman" w:hAnsi="Times New Roman"/>
          <w:sz w:val="20"/>
        </w:rPr>
        <w:t xml:space="preserve"> shall not be construed to apply to (x) any payment made by the Borrower-Related Parties pursuant to and in accordance with the express terms of the Transaction Documents (including the application of funds arising from the existence of a Defaulting Lender) or (y) any payment obtained by a Lender as consideration for the assignment of or sale of a participation in any of its Loans. </w:t>
      </w:r>
    </w:p>
    <w:p>
      <w:pPr>
        <w:pStyle w:val="TextBody"/>
        <w:bidi w:val="0"/>
        <w:spacing w:before="240" w:after="0"/>
        <w:jc w:val="left"/>
        <w:rPr>
          <w:rFonts w:ascii="Times New Roman" w:hAnsi="Times New Roman"/>
          <w:sz w:val="20"/>
        </w:rPr>
      </w:pPr>
      <w:r>
        <w:rPr>
          <w:rFonts w:ascii="Times New Roman" w:hAnsi="Times New Roman"/>
          <w:sz w:val="20"/>
        </w:rPr>
        <w:t xml:space="preserve">Each Borrower-Related Party consents to the foregoing and agrees, to the extent it may effectively do so under applicable Law, that any Lender acquiring a participation pursuant to the foregoing arrangements may exercise against each Borrower-Related Party rights of setoff and counterclaim with respect to such participation as fully as if such Lender were a direct creditor of each Borrower-Related Party in the amount of such participation. </w:t>
      </w:r>
    </w:p>
    <w:p>
      <w:pPr>
        <w:pStyle w:val="TextBody"/>
        <w:bidi w:val="0"/>
        <w:spacing w:before="120" w:after="0"/>
        <w:jc w:val="left"/>
        <w:rPr>
          <w:rFonts w:ascii="Times New Roman" w:hAnsi="Times New Roman"/>
          <w:sz w:val="20"/>
        </w:rPr>
      </w:pPr>
      <w:r>
        <w:rPr>
          <w:rFonts w:ascii="Times New Roman" w:hAnsi="Times New Roman"/>
          <w:sz w:val="20"/>
        </w:rPr>
        <w:t>SECTION 3.04</w:t>
      </w:r>
      <w:r>
        <w:rPr>
          <w:rFonts w:ascii="Times New Roman" w:hAnsi="Times New Roman"/>
          <w:sz w:val="20"/>
          <w:u w:val="single"/>
        </w:rPr>
        <w:t xml:space="preserve"> </w:t>
      </w:r>
      <w:r>
        <w:rPr>
          <w:rFonts w:ascii="Times New Roman" w:hAnsi="Times New Roman"/>
          <w:b/>
          <w:sz w:val="20"/>
          <w:u w:val="single"/>
        </w:rPr>
        <w:t>Administrative Agent’s Clawback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u w:val="single"/>
        </w:rPr>
        <w:t>Funding by Lenders; Presumption by Administrative Agent</w:t>
      </w:r>
      <w:r>
        <w:rPr>
          <w:rFonts w:ascii="Times New Roman" w:hAnsi="Times New Roman"/>
          <w:sz w:val="20"/>
        </w:rPr>
        <w:t xml:space="preserve">. Unless the Administrative Agent shall have received notice from a Lender prior to the proposed date of any Loan, that such Lender will not make available to the Administrative Agent such Lender’s share of such Loan, the Administrative Agent may assume that such Lender has made such share available on such date in accordance with </w:t>
      </w:r>
      <w:r>
        <w:rPr>
          <w:rFonts w:ascii="Times New Roman" w:hAnsi="Times New Roman"/>
          <w:sz w:val="20"/>
          <w:u w:val="single"/>
        </w:rPr>
        <w:t>Section 2.02</w:t>
      </w:r>
      <w:r>
        <w:rPr>
          <w:rFonts w:ascii="Times New Roman" w:hAnsi="Times New Roman"/>
          <w:sz w:val="20"/>
        </w:rPr>
        <w:t xml:space="preserve"> and may, in reliance upon such assumption, make available to the Borrower a corresponding amount. In such event, if a Lender has not in fact made its share of the applicable Loan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a payment to be made by such Lender, the greater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Effective Federal Funds Rate and a rate determined by the Administrative Agent in accordance with banking industry rules on interbank compensation, and (ii)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Loan to the Administrative Agent, then the amount so paid shall constitute such Lender’s share included in such Loan. Any payment by the Borrower shall be without prejudice to any claim the Borrower may have against a Lender that shall have failed to make such payment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u w:val="single"/>
        </w:rPr>
        <w:t>Payments by Borrower; Presumptions by Administrative Agent</w:t>
      </w:r>
      <w:r>
        <w:rPr>
          <w:rFonts w:ascii="Times New Roman" w:hAnsi="Times New Roman"/>
          <w:sz w:val="20"/>
        </w:rPr>
        <w:t xml:space="preserve">. 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Effective Federal Funds Rate and a rate determined by the Administrative Agent in accordance with banking industry rules on interbank compensation.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center"/>
        <w:rPr>
          <w:rFonts w:ascii="Times New Roman" w:hAnsi="Times New Roman"/>
          <w:b/>
          <w:sz w:val="20"/>
        </w:rPr>
      </w:pPr>
      <w:r>
        <w:rPr>
          <w:rFonts w:ascii="Times New Roman" w:hAnsi="Times New Roman"/>
          <w:b/>
          <w:sz w:val="20"/>
        </w:rPr>
        <w:t xml:space="preserve">INCREASED COSTS; FUNDING LOSSES; TAXES; ILLEGALITY AND SECURITY INTEREST </w:t>
      </w:r>
    </w:p>
    <w:p>
      <w:pPr>
        <w:pStyle w:val="TextBody"/>
        <w:bidi w:val="0"/>
        <w:spacing w:before="240" w:after="0"/>
        <w:jc w:val="left"/>
        <w:rPr>
          <w:rFonts w:ascii="Times New Roman" w:hAnsi="Times New Roman"/>
          <w:sz w:val="20"/>
        </w:rPr>
      </w:pPr>
      <w:r>
        <w:rPr>
          <w:rFonts w:ascii="Times New Roman" w:hAnsi="Times New Roman"/>
          <w:sz w:val="20"/>
        </w:rPr>
        <w:t>SECTION 4.01</w:t>
      </w:r>
      <w:r>
        <w:rPr>
          <w:rFonts w:ascii="Times New Roman" w:hAnsi="Times New Roman"/>
          <w:sz w:val="20"/>
          <w:u w:val="single"/>
        </w:rPr>
        <w:t xml:space="preserve"> </w:t>
      </w:r>
      <w:r>
        <w:rPr>
          <w:rFonts w:ascii="Times New Roman" w:hAnsi="Times New Roman"/>
          <w:b/>
          <w:sz w:val="20"/>
          <w:u w:val="single"/>
        </w:rPr>
        <w:t>Increased Costs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u w:val="single"/>
        </w:rPr>
        <w:t>Increased Costs Generally</w:t>
      </w:r>
      <w:r>
        <w:rPr>
          <w:rFonts w:ascii="Times New Roman" w:hAnsi="Times New Roman"/>
          <w:sz w:val="20"/>
        </w:rPr>
        <w:t xml:space="preserve">. If any Change in Law shall: </w:t>
      </w:r>
    </w:p>
    <w:p>
      <w:pPr>
        <w:pStyle w:val="TextBody"/>
        <w:bidi w:val="0"/>
        <w:spacing w:before="120" w:after="0"/>
        <w:jc w:val="left"/>
        <w:rPr>
          <w:rFonts w:ascii="Times New Roman" w:hAnsi="Times New Roman"/>
          <w:sz w:val="20"/>
        </w:rPr>
      </w:pPr>
      <w:r>
        <w:rPr>
          <w:rFonts w:ascii="Times New Roman" w:hAnsi="Times New Roman"/>
          <w:sz w:val="20"/>
        </w:rPr>
        <w:t xml:space="preserve">(i) impose, modify or deem applicable any reserve, special deposit, compulsory loan, insurance charge or similar requirement against assets of, deposits with or for the account of, or credit extended or participated in by, any Lender (except any reserve requirement reflected in the Term SOFR Rate); </w:t>
      </w:r>
    </w:p>
    <w:p>
      <w:pPr>
        <w:pStyle w:val="TextBody"/>
        <w:bidi w:val="0"/>
        <w:spacing w:before="120" w:after="0"/>
        <w:jc w:val="left"/>
        <w:rPr>
          <w:rFonts w:ascii="Times New Roman" w:hAnsi="Times New Roman"/>
          <w:sz w:val="20"/>
        </w:rPr>
      </w:pPr>
      <w:r>
        <w:rPr>
          <w:rFonts w:ascii="Times New Roman" w:hAnsi="Times New Roman"/>
          <w:sz w:val="20"/>
        </w:rPr>
        <w:t xml:space="preserve">(ii) subject any Recipient to any Taxes (other than (A) Indemnified Taxes, (B) Taxes described in </w:t>
      </w:r>
      <w:r>
        <w:rPr>
          <w:rFonts w:ascii="Times New Roman" w:hAnsi="Times New Roman"/>
          <w:sz w:val="20"/>
          <w:u w:val="single"/>
        </w:rPr>
        <w:t>clauses (b)</w:t>
      </w:r>
      <w:r>
        <w:rPr>
          <w:rFonts w:ascii="Times New Roman" w:hAnsi="Times New Roman"/>
          <w:sz w:val="20"/>
        </w:rPr>
        <w:t xml:space="preserve"> through </w:t>
      </w:r>
      <w:r>
        <w:rPr>
          <w:rFonts w:ascii="Times New Roman" w:hAnsi="Times New Roman"/>
          <w:sz w:val="20"/>
          <w:u w:val="single"/>
        </w:rPr>
        <w:t>(d)</w:t>
      </w:r>
      <w:r>
        <w:rPr>
          <w:rFonts w:ascii="Times New Roman" w:hAnsi="Times New Roman"/>
          <w:sz w:val="20"/>
        </w:rPr>
        <w:t xml:space="preserve"> of the definition of Excluded Taxes and (C) Connection Income Taxes) on its loans, loan principal, letters of credit, commitments, or other obligations, or its deposits, reserves, other liabilities or capital attributable thereto; or </w:t>
      </w:r>
    </w:p>
    <w:p>
      <w:pPr>
        <w:pStyle w:val="TextBody"/>
        <w:bidi w:val="0"/>
        <w:spacing w:before="120" w:after="0"/>
        <w:jc w:val="left"/>
        <w:rPr>
          <w:rFonts w:ascii="Times New Roman" w:hAnsi="Times New Roman"/>
          <w:sz w:val="20"/>
        </w:rPr>
      </w:pPr>
      <w:r>
        <w:rPr>
          <w:rFonts w:ascii="Times New Roman" w:hAnsi="Times New Roman"/>
          <w:sz w:val="20"/>
        </w:rPr>
        <w:t xml:space="preserve">(iii) impose on any Lender or the relevant market any other condition, cost or expense (other than Taxes) affecting this Agreement or Loans made by such Lender or participation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the result of any of the foregoing shall be to increase the cost to such Lender or such other Recipient of making, converting to, continuing or maintaining any Loan or of maintaining its obligation to make any such Loan, or to reduce the amount of any sum received or receivable by such Lender or other Recipient hereunder (whether of principal, interest or any other amount) then, upon request of such Lender or other Recipient, the Borrower will pay to such Lender or other Recipient, as the case may be, such additional amount or amounts as will compensate such Lender or other Recipient, as the case may be, for such additional costs incurred or reduction suffered.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u w:val="single"/>
        </w:rPr>
        <w:t>Capital Requirements</w:t>
      </w:r>
      <w:r>
        <w:rPr>
          <w:rFonts w:ascii="Times New Roman" w:hAnsi="Times New Roman"/>
          <w:sz w:val="20"/>
        </w:rPr>
        <w:t xml:space="preserve">.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the Borrower will pay to such Lender such additional amount or amounts as will compensate such Lender or such Lender’s holding company for any such reduction suffered.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u w:val="single"/>
        </w:rPr>
        <w:t>Certificates for Reimbursement</w:t>
      </w:r>
      <w:r>
        <w:rPr>
          <w:rFonts w:ascii="Times New Roman" w:hAnsi="Times New Roman"/>
          <w:sz w:val="20"/>
        </w:rPr>
        <w:t xml:space="preserve">. A certificate of a Lender setting forth the amount or amounts necessary to compensate such Lender or its holding company, as the case may be, as specified in </w:t>
      </w:r>
      <w:r>
        <w:rPr>
          <w:rFonts w:ascii="Times New Roman" w:hAnsi="Times New Roman"/>
          <w:sz w:val="20"/>
          <w:u w:val="single"/>
        </w:rPr>
        <w:t>clause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of this Section and delivered to the Borrower shall be conclusive absent manifest error. The Borrower shall pay such Lender the amount shown as due on any such certificate on the first Settlement Date occurring ten (10) or more days after receipt thereof.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sz w:val="20"/>
          <w:u w:val="single"/>
        </w:rPr>
        <w:t>Delay in Requests</w:t>
      </w:r>
      <w:r>
        <w:rPr>
          <w:rFonts w:ascii="Times New Roman" w:hAnsi="Times New Roman"/>
          <w:sz w:val="20"/>
        </w:rPr>
        <w:t xml:space="preserve">. Failure or delay on the part of any Lender to demand compensation pursuant to this Section shall not constitute a waiver of such Lender’s right to demand such compensation, </w:t>
      </w:r>
      <w:r>
        <w:rPr>
          <w:rFonts w:ascii="Times New Roman" w:hAnsi="Times New Roman"/>
          <w:sz w:val="20"/>
          <w:u w:val="single"/>
        </w:rPr>
        <w:t>provided</w:t>
      </w:r>
      <w:r>
        <w:rPr>
          <w:rFonts w:ascii="Times New Roman" w:hAnsi="Times New Roman"/>
          <w:sz w:val="20"/>
        </w:rPr>
        <w:t xml:space="preserve"> that the Borrower shall not be required to compensate a Lender pursuant to this Section for any increased costs incurred or reductions suffered more than nine (9)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nine (9) month period referred to above shall be extended to include the period of retroactive effect thereof). </w:t>
      </w:r>
    </w:p>
    <w:p>
      <w:pPr>
        <w:pStyle w:val="TextBody"/>
        <w:bidi w:val="0"/>
        <w:spacing w:before="360" w:after="0"/>
        <w:jc w:val="left"/>
        <w:rPr>
          <w:rFonts w:ascii="Times New Roman" w:hAnsi="Times New Roman"/>
          <w:sz w:val="20"/>
        </w:rPr>
      </w:pPr>
      <w:r>
        <w:rPr>
          <w:rFonts w:ascii="Times New Roman" w:hAnsi="Times New Roman"/>
          <w:sz w:val="20"/>
        </w:rPr>
        <w:t xml:space="preserve">SECTION 4.02 </w:t>
      </w:r>
      <w:r>
        <w:rPr>
          <w:rFonts w:ascii="Times New Roman" w:hAnsi="Times New Roman"/>
          <w:b/>
          <w:sz w:val="20"/>
          <w:u w:val="single"/>
        </w:rPr>
        <w:t>Indemnity for Funding Losses</w:t>
      </w:r>
      <w:r>
        <w:rPr>
          <w:rFonts w:ascii="Times New Roman" w:hAnsi="Times New Roman"/>
          <w:sz w:val="20"/>
        </w:rPr>
        <w:t xml:space="preserve">. In addition to the compensation or payments required by </w:t>
      </w:r>
      <w:r>
        <w:rPr>
          <w:rFonts w:ascii="Times New Roman" w:hAnsi="Times New Roman"/>
          <w:sz w:val="20"/>
          <w:u w:val="single"/>
        </w:rPr>
        <w:t>Section 4.01</w:t>
      </w:r>
      <w:r>
        <w:rPr>
          <w:rFonts w:ascii="Times New Roman" w:hAnsi="Times New Roman"/>
          <w:sz w:val="20"/>
        </w:rPr>
        <w:t xml:space="preserve"> or </w:t>
      </w:r>
      <w:r>
        <w:rPr>
          <w:rFonts w:ascii="Times New Roman" w:hAnsi="Times New Roman"/>
          <w:sz w:val="20"/>
          <w:u w:val="single"/>
        </w:rPr>
        <w:t>Section 4.03</w:t>
      </w:r>
      <w:r>
        <w:rPr>
          <w:rFonts w:ascii="Times New Roman" w:hAnsi="Times New Roman"/>
          <w:sz w:val="20"/>
        </w:rPr>
        <w:t xml:space="preserve">, the Borrower shall indemnify each Lender against all liabilities, losses or expenses (including loss of anticipated profits, any foreign exchange losses and any loss or expense arising from the liquidation or reemployment of funds obtained by it to maintain any Loan, from fees payable to terminate the deposits from which such funds were obtained or from the performance of any foreign exchange contract) which such Lender sustains or incurs as a consequence of any: payment, prepayment, conversion or renewal of any Loan to which the Term SOFR Rate applies on a day other than a Monthly Settlement Date, whether or not any such payment or prepayment is mandatory, voluntary, or automatic and whether or not any such payment or prepayment is then due;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attempt by the Borrower to revoke (expressly, by later inconsistent notices or otherwise) in whole or part any Loan Request or notice relating to prepayments under </w:t>
      </w:r>
      <w:r>
        <w:rPr>
          <w:rFonts w:ascii="Times New Roman" w:hAnsi="Times New Roman"/>
          <w:sz w:val="20"/>
          <w:u w:val="single"/>
        </w:rPr>
        <w:t>Section 2.02(e)</w:t>
      </w:r>
      <w:r>
        <w:rPr>
          <w:rFonts w:ascii="Times New Roman" w:hAnsi="Times New Roman"/>
          <w:sz w:val="20"/>
        </w:rPr>
        <w:t xml:space="preserve"> or failure by the Borrower (for a reason other than the failure of such Lender to make a Loan) to prepay, borrow, continue or convert any Loan on the date or in the amount notified by the Borrower. </w:t>
      </w:r>
    </w:p>
    <w:p>
      <w:pPr>
        <w:pStyle w:val="TextBody"/>
        <w:bidi w:val="0"/>
        <w:spacing w:before="240" w:after="0"/>
        <w:jc w:val="left"/>
        <w:rPr>
          <w:rFonts w:ascii="Times New Roman" w:hAnsi="Times New Roman"/>
          <w:sz w:val="20"/>
        </w:rPr>
      </w:pPr>
      <w:r>
        <w:rPr>
          <w:rFonts w:ascii="Times New Roman" w:hAnsi="Times New Roman"/>
          <w:sz w:val="20"/>
        </w:rPr>
        <w:t>If any Lender sustains or incurs any such loss or expense, it shall from time to time notify the Borrower of the amount determined in good faith by such Lender (which determination may include such assumptions, allocations of costs and expenses and averaging or attribution methods as such Lender shall deem reasonable) to be necessary to indemnify such Lender for such loss or expense</w:t>
      </w:r>
      <w:r>
        <w:rPr>
          <w:rFonts w:ascii="Times New Roman" w:hAnsi="Times New Roman"/>
          <w:color w:val="0000FF"/>
          <w:sz w:val="20"/>
          <w:u w:val="single"/>
          <w:bdr w:val="double" w:sz="2" w:space="1" w:color="000000"/>
        </w:rPr>
        <w:t xml:space="preserve"> (with a copy to the Administrative Agent)</w:t>
      </w:r>
      <w:r>
        <w:rPr>
          <w:rFonts w:ascii="Times New Roman" w:hAnsi="Times New Roman"/>
          <w:sz w:val="20"/>
        </w:rPr>
        <w:t xml:space="preserve">. Such notice shall specify in reasonable detail the basis for such determination. Such amount shall be due and payable by the Borrower to such Lender on the first Settlement Date occurring after such notice is given. </w:t>
      </w:r>
    </w:p>
    <w:p>
      <w:pPr>
        <w:pStyle w:val="TextBody"/>
        <w:bidi w:val="0"/>
        <w:spacing w:before="360" w:after="0"/>
        <w:jc w:val="left"/>
        <w:rPr>
          <w:rFonts w:ascii="Times New Roman" w:hAnsi="Times New Roman"/>
          <w:sz w:val="20"/>
        </w:rPr>
      </w:pPr>
      <w:r>
        <w:rPr>
          <w:rFonts w:ascii="Times New Roman" w:hAnsi="Times New Roman"/>
          <w:sz w:val="20"/>
        </w:rPr>
        <w:t xml:space="preserve">SECTION 4.03 </w:t>
      </w:r>
      <w:r>
        <w:rPr>
          <w:rFonts w:ascii="Times New Roman" w:hAnsi="Times New Roman"/>
          <w:b/>
          <w:sz w:val="20"/>
          <w:u w:val="single"/>
        </w:rPr>
        <w:t>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w:t>
      </w:r>
      <w:r>
        <w:rPr>
          <w:rFonts w:ascii="Times New Roman" w:hAnsi="Times New Roman"/>
          <w:b/>
          <w:sz w:val="20"/>
          <w:u w:val="single"/>
        </w:rPr>
        <w:t>Reserved</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u w:val="single"/>
        </w:rPr>
        <w:t>Payments Free of Taxes</w:t>
      </w:r>
      <w:r>
        <w:rPr>
          <w:rFonts w:ascii="Times New Roman" w:hAnsi="Times New Roman"/>
          <w:sz w:val="20"/>
        </w:rPr>
        <w:t xml:space="preserve">. Any and all payments by or on account of any obligation of the Borrower under any Transaction Document shall be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w:t>
      </w:r>
      <w:r>
        <w:rPr>
          <w:rFonts w:ascii="Times New Roman" w:hAnsi="Times New Roman"/>
          <w:sz w:val="20"/>
          <w:u w:val="single"/>
        </w:rPr>
        <w:t>Section 4.03</w:t>
      </w:r>
      <w:r>
        <w:rPr>
          <w:rFonts w:ascii="Times New Roman" w:hAnsi="Times New Roman"/>
          <w:sz w:val="20"/>
        </w:rPr>
        <w:t xml:space="preserve">) the applicable Recipient receives an amount equal to the sum it would have received had no such deduction or withholding been made.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u w:val="single"/>
        </w:rPr>
        <w:t>Payment of Other Taxes by the Borrower</w:t>
      </w:r>
      <w:r>
        <w:rPr>
          <w:rFonts w:ascii="Times New Roman" w:hAnsi="Times New Roman"/>
          <w:sz w:val="20"/>
        </w:rPr>
        <w:t xml:space="preserve">. The Borrower shall timely pay to the relevant Governmental Authority in accordance with applicable Law, or, at the option of the Administrative Agent, timely reimburse the Administrative Agent for the payment of, any Other Taxes.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sz w:val="20"/>
          <w:u w:val="single"/>
        </w:rPr>
        <w:t>Indemnification by the Borrower</w:t>
      </w:r>
      <w:r>
        <w:rPr>
          <w:rFonts w:ascii="Times New Roman" w:hAnsi="Times New Roman"/>
          <w:sz w:val="20"/>
        </w:rPr>
        <w:t xml:space="preserve">. The Borrower shall indemnify each Recipient, on the next Settlement Date occurring ten (10) or more days after demand therefor, for the full amount of any Indemnified Taxes (including Indemnified Taxes imposed or asserted on or attributable to amounts payable under this </w:t>
      </w:r>
      <w:r>
        <w:rPr>
          <w:rFonts w:ascii="Times New Roman" w:hAnsi="Times New Roman"/>
          <w:sz w:val="20"/>
          <w:u w:val="single"/>
        </w:rPr>
        <w:t>Section 4.03</w:t>
      </w:r>
      <w:r>
        <w:rPr>
          <w:rFonts w:ascii="Times New Roman" w:hAnsi="Times New Roman"/>
          <w:sz w:val="20"/>
        </w:rPr>
        <w:t xml:space="preserve">)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b/>
          <w:sz w:val="20"/>
          <w:u w:val="single"/>
        </w:rPr>
        <w:t>Indemnification by the Lenders</w:t>
      </w:r>
      <w:r>
        <w:rPr>
          <w:rFonts w:ascii="Times New Roman" w:hAnsi="Times New Roman"/>
          <w:sz w:val="20"/>
        </w:rPr>
        <w:t xml:space="preserve">. Each Lender shall severally indemnify the Administrative Agent, within ten days after demand therefor, for (i) any Indemnified Taxes attributable to such Lender (but only to the extent that the Borrower-Related Parties have not already indemnified the Administrative Agent for such Indemnified Taxes and without limiting any obligation of any Borrower-Related Party to do so), (ii) any Taxes attributable to such Lender’s failure to comply with the provisions of </w:t>
      </w:r>
      <w:r>
        <w:rPr>
          <w:rFonts w:ascii="Times New Roman" w:hAnsi="Times New Roman"/>
          <w:sz w:val="20"/>
          <w:u w:val="single"/>
        </w:rPr>
        <w:t>Section 12.06(d)</w:t>
      </w:r>
      <w:r>
        <w:rPr>
          <w:rFonts w:ascii="Times New Roman" w:hAnsi="Times New Roman"/>
          <w:sz w:val="20"/>
        </w:rPr>
        <w:t xml:space="preserve"> relating to the maintenance of a Participant Register, and (iii) any Excluded Taxes attributable to such Lender, in each case, that are payable or paid by the Administrative Agent in connection with any Transaction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Transaction Document or otherwise payable by the Administrative Agent to the Lender from any other source against any amount due to the Administrative Agent under this </w:t>
      </w:r>
      <w:r>
        <w:rPr>
          <w:rFonts w:ascii="Times New Roman" w:hAnsi="Times New Roman"/>
          <w:sz w:val="20"/>
          <w:u w:val="single"/>
        </w:rPr>
        <w:t>Section 4.03(e)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b/>
          <w:sz w:val="20"/>
          <w:u w:val="single"/>
        </w:rPr>
        <w:t>Evidence of Payments</w:t>
      </w:r>
      <w:r>
        <w:rPr>
          <w:rFonts w:ascii="Times New Roman" w:hAnsi="Times New Roman"/>
          <w:sz w:val="20"/>
        </w:rPr>
        <w:t xml:space="preserve">. As soon as practicable after any payment of Taxes by the Borrower to a Governmental Authority pursuant to this </w:t>
      </w:r>
      <w:r>
        <w:rPr>
          <w:rFonts w:ascii="Times New Roman" w:hAnsi="Times New Roman"/>
          <w:sz w:val="20"/>
          <w:u w:val="single"/>
        </w:rPr>
        <w:t>Section 4.03</w:t>
      </w:r>
      <w:r>
        <w:rPr>
          <w:rFonts w:ascii="Times New Roman" w:hAnsi="Times New Roman"/>
          <w:sz w:val="20"/>
        </w:rPr>
        <w:t xml:space="preserve">,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b/>
          <w:sz w:val="20"/>
          <w:u w:val="single"/>
        </w:rPr>
        <w:t>Status of Lenders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Any Lender that is entitled to an exemption from or reduction of withholding Tax with respect to payments made under any Transaction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hAnsi="Times New Roman"/>
          <w:sz w:val="20"/>
          <w:u w:val="single"/>
        </w:rPr>
        <w:t>Sections 4.03(g)(ii)(1)</w:t>
      </w:r>
      <w:r>
        <w:rPr>
          <w:rFonts w:ascii="Times New Roman" w:hAnsi="Times New Roman"/>
          <w:sz w:val="20"/>
        </w:rPr>
        <w:t xml:space="preserve">, </w:t>
      </w:r>
      <w:r>
        <w:rPr>
          <w:rFonts w:ascii="Times New Roman" w:hAnsi="Times New Roman"/>
          <w:sz w:val="20"/>
          <w:u w:val="single"/>
        </w:rPr>
        <w:t>4.03(g)(ii)(2)</w:t>
      </w:r>
      <w:r>
        <w:rPr>
          <w:rFonts w:ascii="Times New Roman" w:hAnsi="Times New Roman"/>
          <w:sz w:val="20"/>
        </w:rPr>
        <w:t xml:space="preserve"> and </w:t>
      </w:r>
      <w:r>
        <w:rPr>
          <w:rFonts w:ascii="Times New Roman" w:hAnsi="Times New Roman"/>
          <w:sz w:val="20"/>
          <w:u w:val="single"/>
        </w:rPr>
        <w:t>4.03(h)</w:t>
      </w:r>
      <w:r>
        <w:rPr>
          <w:rFonts w:ascii="Times New Roman" w:hAnsi="Times New Roman"/>
          <w:sz w:val="20"/>
        </w:rPr>
        <w:t xml:space="preserve">) shall not be required if, in the Lender’s reasonable judgment, such completion, execution or submission would subject such Lender to any material unreimbursed cost or expense or would materially prejudice the legal or commercial position of such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Without limiting the generality of the foregoing, in the event that the Borrower is a U.S. Person: </w:t>
      </w:r>
    </w:p>
    <w:p>
      <w:pPr>
        <w:pStyle w:val="TextBody"/>
        <w:bidi w:val="0"/>
        <w:spacing w:before="120" w:after="0"/>
        <w:jc w:val="left"/>
        <w:rPr>
          <w:rFonts w:ascii="Times New Roman" w:hAnsi="Times New Roman"/>
          <w:sz w:val="20"/>
        </w:rPr>
      </w:pPr>
      <w:r>
        <w:rPr>
          <w:rFonts w:ascii="Times New Roman" w:hAnsi="Times New Roman"/>
          <w:sz w:val="20"/>
        </w:rPr>
        <w:t xml:space="preserve">(1) 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 </w:t>
      </w:r>
    </w:p>
    <w:p>
      <w:pPr>
        <w:pStyle w:val="TextBody"/>
        <w:bidi w:val="0"/>
        <w:spacing w:before="120" w:after="0"/>
        <w:jc w:val="left"/>
        <w:rPr>
          <w:rFonts w:ascii="Times New Roman" w:hAnsi="Times New Roman"/>
          <w:sz w:val="20"/>
        </w:rPr>
      </w:pPr>
      <w:r>
        <w:rPr>
          <w:rFonts w:ascii="Times New Roman" w:hAnsi="Times New Roman"/>
          <w:sz w:val="20"/>
        </w:rPr>
        <w:t xml:space="preserve">(2)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 </w:t>
      </w:r>
    </w:p>
    <w:p>
      <w:pPr>
        <w:pStyle w:val="TextBody"/>
        <w:bidi w:val="0"/>
        <w:spacing w:before="120" w:after="0"/>
        <w:jc w:val="left"/>
        <w:rPr>
          <w:rFonts w:ascii="Times New Roman" w:hAnsi="Times New Roman"/>
          <w:sz w:val="20"/>
        </w:rPr>
      </w:pPr>
      <w:r>
        <w:rPr>
          <w:rFonts w:ascii="Times New Roman" w:hAnsi="Times New Roman"/>
          <w:sz w:val="20"/>
        </w:rPr>
        <w:t xml:space="preserve">(I) in the case of a Foreign Lender claiming the benefits of an income tax treaty to which the United States is a party (x) with respect to payments of interest under any Transaction Document, executed copies of IRS Form W-8BEN-E (or W-8BEN if applicable) establishing an exemption from, or reduction of, U.S. federal withholding Tax pursuant to the “interest” article of such tax treaty and (y) with respect to any other applicable payments under any Transaction Document, IRS Form W-8BEN-E (or W-8BEN if applicable) establishing an exemption from, or reduction of, U.S. federal withholding Tax pursuant to the “business profits” or “other income” article of such tax treaty; </w:t>
      </w:r>
    </w:p>
    <w:p>
      <w:pPr>
        <w:pStyle w:val="TextBody"/>
        <w:bidi w:val="0"/>
        <w:spacing w:before="120" w:after="0"/>
        <w:jc w:val="left"/>
        <w:rPr>
          <w:rFonts w:ascii="Times New Roman" w:hAnsi="Times New Roman"/>
          <w:sz w:val="20"/>
        </w:rPr>
      </w:pPr>
      <w:r>
        <w:rPr>
          <w:rFonts w:ascii="Times New Roman" w:hAnsi="Times New Roman"/>
          <w:sz w:val="20"/>
        </w:rPr>
        <w:t xml:space="preserve">(II) executed copies of IRS Form W-8ECI; </w:t>
      </w:r>
    </w:p>
    <w:p>
      <w:pPr>
        <w:pStyle w:val="TextBody"/>
        <w:bidi w:val="0"/>
        <w:spacing w:before="120" w:after="0"/>
        <w:jc w:val="left"/>
        <w:rPr>
          <w:rFonts w:ascii="Times New Roman" w:hAnsi="Times New Roman"/>
          <w:sz w:val="20"/>
        </w:rPr>
      </w:pPr>
      <w:r>
        <w:rPr>
          <w:rFonts w:ascii="Times New Roman" w:hAnsi="Times New Roman"/>
          <w:sz w:val="20"/>
        </w:rPr>
        <w:t xml:space="preserve">(III) in the case of a Foreign Lender claiming the benefits of the exemption for portfolio interest under Section 881(c) of the Code, (x) a certificate substantially in the form of </w:t>
      </w:r>
      <w:r>
        <w:rPr>
          <w:rFonts w:ascii="Times New Roman" w:hAnsi="Times New Roman"/>
          <w:sz w:val="20"/>
          <w:u w:val="single"/>
        </w:rPr>
        <w:t>Exhibit H-1</w:t>
      </w:r>
      <w:r>
        <w:rPr>
          <w:rFonts w:ascii="Times New Roman" w:hAnsi="Times New Roman"/>
          <w:sz w:val="20"/>
        </w:rPr>
        <w:t xml:space="preserve"> to the effect that such Foreign Lender is not (A) a “bank” within the meaning of Section 881(c)(3)(A) of the Code, (B) a “10 percent shareholder” of the Borrower within the meaning of Section 881(c)(3)(B) of the Code, or (C) a “controlled foreign corporation” related to the Borrower as described in Section 881(c)(3)(C) of the Code (a “</w:t>
      </w:r>
      <w:r>
        <w:rPr>
          <w:rFonts w:ascii="Times New Roman" w:hAnsi="Times New Roman"/>
          <w:sz w:val="20"/>
          <w:u w:val="single"/>
        </w:rPr>
        <w:t>U.S. Tax Compliance Certificate</w:t>
      </w:r>
      <w:r>
        <w:rPr>
          <w:rFonts w:ascii="Times New Roman" w:hAnsi="Times New Roman"/>
          <w:sz w:val="20"/>
        </w:rPr>
        <w:t xml:space="preserve">”) and (y) executed copies of IRS Form W-8BEN-E (or W-8BEN if applicable);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to the extent a Foreign Lender is not the beneficial owner, executed copies of IRS Form W-8IMY, accompanied by IRS Form W-8ECI, IRS Form W-8BEN-E (or W-8BEN if applicable), a U.S. Tax Compliance Certificate substantially in the form of </w:t>
      </w:r>
      <w:r>
        <w:rPr>
          <w:rFonts w:ascii="Times New Roman" w:hAnsi="Times New Roman"/>
          <w:sz w:val="20"/>
          <w:u w:val="single"/>
        </w:rPr>
        <w:t>Exhibit H-2</w:t>
      </w:r>
      <w:r>
        <w:rPr>
          <w:rFonts w:ascii="Times New Roman" w:hAnsi="Times New Roman"/>
          <w:sz w:val="20"/>
        </w:rPr>
        <w:t xml:space="preserve"> or </w:t>
      </w:r>
      <w:r>
        <w:rPr>
          <w:rFonts w:ascii="Times New Roman" w:hAnsi="Times New Roman"/>
          <w:sz w:val="20"/>
          <w:u w:val="single"/>
        </w:rPr>
        <w:t>Exhibit H-3</w:t>
      </w:r>
      <w:r>
        <w:rPr>
          <w:rFonts w:ascii="Times New Roman" w:hAnsi="Times New Roman"/>
          <w:sz w:val="20"/>
        </w:rPr>
        <w:t xml:space="preserve">, IRS Form W-9, and/or other certification documents from each beneficial owner, as applicable; </w:t>
      </w:r>
      <w:r>
        <w:rPr>
          <w:rFonts w:ascii="Times New Roman" w:hAnsi="Times New Roman"/>
          <w:sz w:val="20"/>
          <w:u w:val="single"/>
        </w:rPr>
        <w:t>provided</w:t>
      </w:r>
      <w:r>
        <w:rPr>
          <w:rFonts w:ascii="Times New Roman" w:hAnsi="Times New Roman"/>
          <w:sz w:val="20"/>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hAnsi="Times New Roman"/>
          <w:sz w:val="20"/>
          <w:u w:val="single"/>
        </w:rPr>
        <w:t>Exhibit H-4</w:t>
      </w:r>
      <w:r>
        <w:rPr>
          <w:rFonts w:ascii="Times New Roman" w:hAnsi="Times New Roman"/>
          <w:sz w:val="20"/>
        </w:rPr>
        <w:t xml:space="preserve"> on behalf of each such direct and indirect partner; </w:t>
      </w:r>
    </w:p>
    <w:p>
      <w:pPr>
        <w:pStyle w:val="TextBody"/>
        <w:bidi w:val="0"/>
        <w:spacing w:before="120" w:after="0"/>
        <w:jc w:val="left"/>
        <w:rPr>
          <w:rFonts w:ascii="Times New Roman" w:hAnsi="Times New Roman"/>
          <w:sz w:val="20"/>
        </w:rPr>
      </w:pPr>
      <w:r>
        <w:rPr>
          <w:rFonts w:ascii="Times New Roman" w:hAnsi="Times New Roman"/>
          <w:sz w:val="20"/>
        </w:rPr>
        <w:t xml:space="preserve">(1)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 </w:t>
      </w:r>
    </w:p>
    <w:p>
      <w:pPr>
        <w:pStyle w:val="TextBody"/>
        <w:bidi w:val="0"/>
        <w:spacing w:before="120" w:after="0"/>
        <w:jc w:val="left"/>
        <w:rPr>
          <w:rFonts w:ascii="Times New Roman" w:hAnsi="Times New Roman"/>
          <w:sz w:val="20"/>
        </w:rPr>
      </w:pPr>
      <w:r>
        <w:rPr>
          <w:rFonts w:ascii="Times New Roman" w:hAnsi="Times New Roman"/>
          <w:sz w:val="20"/>
        </w:rPr>
        <w:t xml:space="preserve">(2) if a payment made to a Lender under any Transaction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w:t>
      </w:r>
      <w:r>
        <w:rPr>
          <w:rFonts w:ascii="Times New Roman" w:hAnsi="Times New Roman"/>
          <w:sz w:val="20"/>
          <w:u w:val="single"/>
        </w:rPr>
        <w:t>clause (D)</w:t>
      </w:r>
      <w:r>
        <w:rPr>
          <w:rFonts w:ascii="Times New Roman" w:hAnsi="Times New Roman"/>
          <w:sz w:val="20"/>
        </w:rPr>
        <w:t>, “</w:t>
      </w:r>
      <w:r>
        <w:rPr>
          <w:rFonts w:ascii="Times New Roman" w:hAnsi="Times New Roman"/>
          <w:sz w:val="20"/>
          <w:u w:val="single"/>
        </w:rPr>
        <w:t>FATCA</w:t>
      </w:r>
      <w:r>
        <w:rPr>
          <w:rFonts w:ascii="Times New Roman" w:hAnsi="Times New Roman"/>
          <w:sz w:val="20"/>
        </w:rPr>
        <w:t xml:space="preserve">” shall include any amendments made to FATCA after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b/>
          <w:sz w:val="20"/>
          <w:u w:val="single"/>
        </w:rPr>
        <w:t>Treatment of Certain Refunds</w:t>
      </w:r>
      <w:r>
        <w:rPr>
          <w:rFonts w:ascii="Times New Roman" w:hAnsi="Times New Roman"/>
          <w:sz w:val="20"/>
        </w:rPr>
        <w:t xml:space="preserve">. If any party determines, in its sole discretion exercised in good faith, that it has received a refund of any Taxes as to which it has been indemnified pursuant to this </w:t>
      </w:r>
      <w:r>
        <w:rPr>
          <w:rFonts w:ascii="Times New Roman" w:hAnsi="Times New Roman"/>
          <w:sz w:val="20"/>
          <w:u w:val="single"/>
        </w:rPr>
        <w:t>Section 4.03</w:t>
      </w:r>
      <w:r>
        <w:rPr>
          <w:rFonts w:ascii="Times New Roman" w:hAnsi="Times New Roman"/>
          <w:sz w:val="20"/>
        </w:rPr>
        <w:t xml:space="preserve"> (including by the payment of additional amounts pursuant to this </w:t>
      </w:r>
      <w:r>
        <w:rPr>
          <w:rFonts w:ascii="Times New Roman" w:hAnsi="Times New Roman"/>
          <w:sz w:val="20"/>
          <w:u w:val="single"/>
        </w:rPr>
        <w:t>Section 4.03</w:t>
      </w:r>
      <w:r>
        <w:rPr>
          <w:rFonts w:ascii="Times New Roman" w:hAnsi="Times New Roman"/>
          <w:sz w:val="20"/>
        </w:rPr>
        <w:t xml:space="preserve">), it shall pay to the indemnifying party an amount equal to such refund (but only to the extent of indemnity payments made under this </w:t>
      </w:r>
      <w:r>
        <w:rPr>
          <w:rFonts w:ascii="Times New Roman" w:hAnsi="Times New Roman"/>
          <w:sz w:val="20"/>
          <w:u w:val="single"/>
        </w:rPr>
        <w:t>Section 4.03</w:t>
      </w:r>
      <w:r>
        <w:rPr>
          <w:rFonts w:ascii="Times New Roman" w:hAnsi="Times New Roman"/>
          <w:sz w:val="20"/>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indemnified party, shall repay to such indemnified party the amount paid over pursuant to this </w:t>
      </w:r>
      <w:r>
        <w:rPr>
          <w:rFonts w:ascii="Times New Roman" w:hAnsi="Times New Roman"/>
          <w:sz w:val="20"/>
          <w:u w:val="single"/>
        </w:rPr>
        <w:t>Section 4.03(h)</w:t>
      </w:r>
      <w:r>
        <w:rPr>
          <w:rFonts w:ascii="Times New Roman" w:hAnsi="Times New Roman"/>
          <w:sz w:val="20"/>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hAnsi="Times New Roman"/>
          <w:sz w:val="20"/>
          <w:u w:val="single"/>
        </w:rPr>
        <w:t>Section 4.03(h)</w:t>
      </w:r>
      <w:r>
        <w:rPr>
          <w:rFonts w:ascii="Times New Roman" w:hAnsi="Times New Roman"/>
          <w:sz w:val="20"/>
        </w:rPr>
        <w:t xml:space="preserve">, in no event will the indemnified party be required to pay any amount to an indemnifying party pursuant to this </w:t>
      </w:r>
      <w:r>
        <w:rPr>
          <w:rFonts w:ascii="Times New Roman" w:hAnsi="Times New Roman"/>
          <w:sz w:val="20"/>
          <w:u w:val="single"/>
        </w:rPr>
        <w:t>Section 4.03(h)</w:t>
      </w:r>
      <w:r>
        <w:rPr>
          <w:rFonts w:ascii="Times New Roman" w:hAnsi="Times New Roman"/>
          <w:sz w:val="20"/>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b/>
          <w:sz w:val="20"/>
          <w:u w:val="single"/>
        </w:rPr>
        <w:t>Survival</w:t>
      </w:r>
      <w:r>
        <w:rPr>
          <w:rFonts w:ascii="Times New Roman" w:hAnsi="Times New Roman"/>
          <w:sz w:val="20"/>
        </w:rPr>
        <w:t xml:space="preserve">. Each party’s obligations under this </w:t>
      </w:r>
      <w:r>
        <w:rPr>
          <w:rFonts w:ascii="Times New Roman" w:hAnsi="Times New Roman"/>
          <w:sz w:val="20"/>
          <w:u w:val="single"/>
        </w:rPr>
        <w:t>Section 4.03</w:t>
      </w:r>
      <w:r>
        <w:rPr>
          <w:rFonts w:ascii="Times New Roman" w:hAnsi="Times New Roman"/>
          <w:sz w:val="20"/>
        </w:rPr>
        <w:t xml:space="preserve"> shall survive the resignation or replacement of the Administrative Agent or any assignment of rights by, or the replacement of, a Lender, the termination of the Commitments and the repayment, satisfaction or discharge of all Borrower Obligations.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b/>
          <w:sz w:val="20"/>
          <w:u w:val="single"/>
        </w:rPr>
        <w:t>VAT</w:t>
      </w:r>
      <w:r>
        <w:rPr>
          <w:rFonts w:ascii="Times New Roman" w:hAnsi="Times New Roman"/>
          <w:sz w:val="20"/>
        </w:rPr>
        <w:t xml:space="preserve">. Unless expressly stated otherwise, all sums payable under this Agreement are stated exclusive of VAT unless they are payable by the Borrower, in which case they are stated inclusive of VAT where applicable (including any VAT for which the Borrower is required to account under any reverse charge mechanism, which shall be deducted from the sum otherwise payable by the Borrower under this Agreement). If VAT is payable on any supply made under this Agreement, for which the consideration is exclusive of VAT, the recipient of the supply will pay to the supplier an amount equal to the VAT payable on the supply at the same time as it makes the relevant payment to the supplier, unless the recipient is itself obliged to account for VAT directly to the relevant tax authority under any reverse charge mechanism. In each case where payment under this Agreement is made in consideration for a supply for VAT purposes by a supplier that is or is required to be registered for VAT purposes, the supplier must promptly provide the recipient with a valid VAT invoice in respect of the relevant supply. </w:t>
      </w:r>
    </w:p>
    <w:p>
      <w:pPr>
        <w:pStyle w:val="TextBody"/>
        <w:bidi w:val="0"/>
        <w:spacing w:before="360" w:after="0"/>
        <w:jc w:val="left"/>
        <w:rPr>
          <w:rFonts w:ascii="Times New Roman" w:hAnsi="Times New Roman"/>
          <w:sz w:val="20"/>
        </w:rPr>
      </w:pPr>
      <w:r>
        <w:rPr>
          <w:rFonts w:ascii="Times New Roman" w:hAnsi="Times New Roman"/>
          <w:sz w:val="20"/>
        </w:rPr>
        <w:t xml:space="preserve">SECTION 4.04 </w:t>
      </w:r>
      <w:r>
        <w:rPr>
          <w:rFonts w:ascii="Times New Roman" w:hAnsi="Times New Roman"/>
          <w:b/>
          <w:sz w:val="20"/>
          <w:u w:val="single"/>
        </w:rPr>
        <w:t>Designation of a Different Lending Office</w:t>
      </w:r>
      <w:r>
        <w:rPr>
          <w:rFonts w:ascii="Times New Roman" w:hAnsi="Times New Roman"/>
          <w:sz w:val="20"/>
        </w:rPr>
        <w:t xml:space="preserve">. If any Lender requests compensation under </w:t>
      </w:r>
      <w:r>
        <w:rPr>
          <w:rFonts w:ascii="Times New Roman" w:hAnsi="Times New Roman"/>
          <w:sz w:val="20"/>
          <w:u w:val="single"/>
        </w:rPr>
        <w:t>Section 4.01</w:t>
      </w:r>
      <w:r>
        <w:rPr>
          <w:rFonts w:ascii="Times New Roman" w:hAnsi="Times New Roman"/>
          <w:sz w:val="20"/>
        </w:rPr>
        <w:t xml:space="preserve">, or the Borrower is or will be required to pay any Indemnified Taxes or additional amounts to any Lender or any Governmental Authority for the account of any Lender pursuant to </w:t>
      </w:r>
      <w:r>
        <w:rPr>
          <w:rFonts w:ascii="Times New Roman" w:hAnsi="Times New Roman"/>
          <w:sz w:val="20"/>
          <w:u w:val="single"/>
        </w:rPr>
        <w:t>Section 4.03</w:t>
      </w:r>
      <w:r>
        <w:rPr>
          <w:rFonts w:ascii="Times New Roman" w:hAnsi="Times New Roman"/>
          <w:sz w:val="20"/>
        </w:rPr>
        <w:t xml:space="preserve">, then such Lender shall (at the request of the Borrower)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hAnsi="Times New Roman"/>
          <w:sz w:val="20"/>
          <w:u w:val="single"/>
        </w:rPr>
        <w:t>Section 4.01</w:t>
      </w:r>
      <w:r>
        <w:rPr>
          <w:rFonts w:ascii="Times New Roman" w:hAnsi="Times New Roman"/>
          <w:sz w:val="20"/>
        </w:rPr>
        <w:t xml:space="preserve"> or </w:t>
      </w:r>
      <w:r>
        <w:rPr>
          <w:rFonts w:ascii="Times New Roman" w:hAnsi="Times New Roman"/>
          <w:sz w:val="20"/>
          <w:u w:val="single"/>
        </w:rPr>
        <w:t>Section 4.03</w:t>
      </w:r>
      <w:r>
        <w:rPr>
          <w:rFonts w:ascii="Times New Roman" w:hAnsi="Times New Roman"/>
          <w:sz w:val="20"/>
        </w:rPr>
        <w:t xml:space="preserve">,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center"/>
        <w:rPr>
          <w:rFonts w:ascii="Times New Roman" w:hAnsi="Times New Roman"/>
          <w:b/>
          <w:sz w:val="20"/>
        </w:rPr>
      </w:pPr>
      <w:r>
        <w:rPr>
          <w:rFonts w:ascii="Times New Roman" w:hAnsi="Times New Roman"/>
          <w:b/>
          <w:sz w:val="20"/>
        </w:rPr>
        <w:t xml:space="preserve">CONDITIONS TO EFFECTIVENESS AND CREDIT EXTENSIONS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b/>
          <w:sz w:val="20"/>
          <w:u w:val="single"/>
        </w:rPr>
        <w:t>Conditions Precedent to Effectiveness and the Initial Credit Extension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u w:val="single"/>
        </w:rPr>
        <w:t>Conditions Precedent to Effectiveness</w:t>
      </w:r>
      <w:r>
        <w:rPr>
          <w:rFonts w:ascii="Times New Roman" w:hAnsi="Times New Roman"/>
          <w:sz w:val="20"/>
        </w:rPr>
        <w:t xml:space="preserve">. This Agreement shall become effective as of the Closing Date when (i) the Administrative Agent shall have received executed counterparts to this Agreement and the Fee Letter and (ii) all fees and expenses payable by the Borrower on the Closing Date to the Credit Parties have been paid in full in accordance with the terms of the Transaction Documents.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u w:val="single"/>
        </w:rPr>
        <w:t>Conditions Precedent to the Initial Credit Extension</w:t>
      </w:r>
      <w:r>
        <w:rPr>
          <w:rFonts w:ascii="Times New Roman" w:hAnsi="Times New Roman"/>
          <w:sz w:val="20"/>
        </w:rPr>
        <w:t>. This Agreement shall become effective as of such date (the “</w:t>
      </w:r>
      <w:r>
        <w:rPr>
          <w:rFonts w:ascii="Times New Roman" w:hAnsi="Times New Roman"/>
          <w:sz w:val="20"/>
          <w:u w:val="single"/>
        </w:rPr>
        <w:t>Initial Funding Date</w:t>
      </w:r>
      <w:r>
        <w:rPr>
          <w:rFonts w:ascii="Times New Roman" w:hAnsi="Times New Roman"/>
          <w:sz w:val="20"/>
        </w:rPr>
        <w:t>”) when (i) the Administrative Agent shall have received each of the documents, agreements (in fully executed form), opinions of counsel, lien search results, UCC filings, certificates and other deliverables listed as “</w:t>
      </w:r>
      <w:r>
        <w:rPr>
          <w:rFonts w:ascii="Times New Roman" w:hAnsi="Times New Roman"/>
          <w:i/>
          <w:sz w:val="20"/>
        </w:rPr>
        <w:t>Pre-Funding Deliverables”</w:t>
      </w:r>
      <w:r>
        <w:rPr>
          <w:rFonts w:ascii="Times New Roman" w:hAnsi="Times New Roman"/>
          <w:sz w:val="20"/>
        </w:rPr>
        <w:t xml:space="preserve"> on the closing memorandum attached as </w:t>
      </w:r>
      <w:r>
        <w:rPr>
          <w:rFonts w:ascii="Times New Roman" w:hAnsi="Times New Roman"/>
          <w:sz w:val="20"/>
          <w:u w:val="single"/>
        </w:rPr>
        <w:t>Exhibit G</w:t>
      </w:r>
      <w:r>
        <w:rPr>
          <w:rFonts w:ascii="Times New Roman" w:hAnsi="Times New Roman"/>
          <w:sz w:val="20"/>
        </w:rPr>
        <w:t xml:space="preserve"> hereto, in each case, in form and substance acceptable to the Administrative Agent and (ii) each of the conditions set forth in </w:t>
      </w:r>
      <w:r>
        <w:rPr>
          <w:rFonts w:ascii="Times New Roman" w:hAnsi="Times New Roman"/>
          <w:sz w:val="20"/>
          <w:u w:val="single"/>
        </w:rPr>
        <w:t>Section 5.02</w:t>
      </w:r>
      <w:r>
        <w:rPr>
          <w:rFonts w:ascii="Times New Roman" w:hAnsi="Times New Roman"/>
          <w:sz w:val="20"/>
        </w:rPr>
        <w:t xml:space="preserve"> hereof are satisfied; </w:t>
      </w:r>
      <w:r>
        <w:rPr>
          <w:rFonts w:ascii="Times New Roman" w:hAnsi="Times New Roman"/>
          <w:sz w:val="20"/>
          <w:u w:val="single"/>
        </w:rPr>
        <w:t>provided</w:t>
      </w:r>
      <w:r>
        <w:rPr>
          <w:rFonts w:ascii="Times New Roman" w:hAnsi="Times New Roman"/>
          <w:sz w:val="20"/>
        </w:rPr>
        <w:t xml:space="preserve">, that the conditions to the Initial Funding Date must occur prior to April 1, 2023 (or such later date approved in writing by the Administrative Agent) for satisfaction of this </w:t>
      </w:r>
      <w:r>
        <w:rPr>
          <w:rFonts w:ascii="Times New Roman" w:hAnsi="Times New Roman"/>
          <w:sz w:val="20"/>
          <w:u w:val="single"/>
        </w:rPr>
        <w:t>Section 5.01(b)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b/>
          <w:sz w:val="20"/>
          <w:u w:val="single"/>
        </w:rPr>
        <w:t>Conditions Precedent to All Class A Loans</w:t>
      </w:r>
      <w:r>
        <w:rPr>
          <w:rFonts w:ascii="Times New Roman" w:hAnsi="Times New Roman"/>
          <w:sz w:val="20"/>
        </w:rPr>
        <w:t xml:space="preserve">. Each Class A Loan hereunder on or after the Initial Funding Date shall be subject to the conditions precedent that: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shall have delivered to the Administrative Agent </w:t>
      </w:r>
      <w:r>
        <w:rPr>
          <w:rFonts w:ascii="Times New Roman" w:hAnsi="Times New Roman"/>
          <w:strike/>
          <w:color w:val="FF0000"/>
          <w:sz w:val="20"/>
        </w:rPr>
        <w:t xml:space="preserve">and each Class A Lender </w:t>
      </w:r>
      <w:r>
        <w:rPr>
          <w:rFonts w:ascii="Times New Roman" w:hAnsi="Times New Roman"/>
          <w:sz w:val="20"/>
        </w:rPr>
        <w:t xml:space="preserve">a Loan Request for such Class A Loan, in accordance with </w:t>
      </w:r>
      <w:r>
        <w:rPr>
          <w:rFonts w:ascii="Times New Roman" w:hAnsi="Times New Roman"/>
          <w:sz w:val="20"/>
          <w:u w:val="single"/>
        </w:rPr>
        <w:t>Section 2.02(a)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each Servicer shall have delivered to the Administrative Agent and each Class A Lender all Pool Reports required to be delivered hereunder; and </w:t>
      </w:r>
    </w:p>
    <w:p>
      <w:pPr>
        <w:pStyle w:val="TextBody"/>
        <w:bidi w:val="0"/>
        <w:spacing w:before="120" w:after="0"/>
        <w:jc w:val="left"/>
        <w:rPr>
          <w:rFonts w:ascii="Times New Roman" w:hAnsi="Times New Roman"/>
          <w:sz w:val="20"/>
        </w:rPr>
      </w:pPr>
      <w:r>
        <w:rPr>
          <w:rFonts w:ascii="Times New Roman" w:hAnsi="Times New Roman"/>
          <w:sz w:val="20"/>
        </w:rPr>
        <w:t xml:space="preserve">(c) on the date of such Class A Loan the following statements shall be true and correct (and upon the occurrence of such Class A Loan, the Borrower and each Servicer shall be deemed to have represented and warranted that such statements are then true and correct): </w:t>
      </w:r>
    </w:p>
    <w:p>
      <w:pPr>
        <w:pStyle w:val="TextBody"/>
        <w:bidi w:val="0"/>
        <w:spacing w:before="120" w:after="0"/>
        <w:jc w:val="left"/>
        <w:rPr>
          <w:rFonts w:ascii="Times New Roman" w:hAnsi="Times New Roman"/>
          <w:sz w:val="20"/>
        </w:rPr>
      </w:pPr>
      <w:r>
        <w:rPr>
          <w:rFonts w:ascii="Times New Roman" w:hAnsi="Times New Roman"/>
          <w:sz w:val="20"/>
        </w:rPr>
        <w:t xml:space="preserve">(i) the representations and warranties of the Borrower and the Servicers contained in </w:t>
      </w:r>
      <w:r>
        <w:rPr>
          <w:rFonts w:ascii="Times New Roman" w:hAnsi="Times New Roman"/>
          <w:sz w:val="20"/>
          <w:u w:val="single"/>
        </w:rPr>
        <w:t>Sections 6.01</w:t>
      </w:r>
      <w:r>
        <w:rPr>
          <w:rFonts w:ascii="Times New Roman" w:hAnsi="Times New Roman"/>
          <w:sz w:val="20"/>
        </w:rPr>
        <w:t xml:space="preserve"> and </w:t>
      </w:r>
      <w:r>
        <w:rPr>
          <w:rFonts w:ascii="Times New Roman" w:hAnsi="Times New Roman"/>
          <w:sz w:val="20"/>
          <w:u w:val="single"/>
        </w:rPr>
        <w:t>6.02</w:t>
      </w:r>
      <w:r>
        <w:rPr>
          <w:rFonts w:ascii="Times New Roman" w:hAnsi="Times New Roman"/>
          <w:sz w:val="20"/>
        </w:rPr>
        <w:t xml:space="preserve"> are true and correct in all material respects on and as of the date of such Credit Extension as though made on and as of such date unless such representations and warranties by their terms refer to an earlier date, in which case they shall be true and correct in all material respects on and as of such earlier date; </w:t>
      </w:r>
    </w:p>
    <w:p>
      <w:pPr>
        <w:pStyle w:val="TextBody"/>
        <w:bidi w:val="0"/>
        <w:spacing w:before="120" w:after="0"/>
        <w:jc w:val="left"/>
        <w:rPr>
          <w:rFonts w:ascii="Times New Roman" w:hAnsi="Times New Roman"/>
          <w:sz w:val="20"/>
        </w:rPr>
      </w:pPr>
      <w:r>
        <w:rPr>
          <w:rFonts w:ascii="Times New Roman" w:hAnsi="Times New Roman"/>
          <w:sz w:val="20"/>
        </w:rPr>
        <w:t xml:space="preserve">(ii) no Event of Default, Financial Covenant Event or Potential Default has occurred and is continuing, and no Event of Default, Financial Covenant Event or Potential Default would result from such Class A Loan; </w:t>
      </w:r>
    </w:p>
    <w:p>
      <w:pPr>
        <w:pStyle w:val="TextBody"/>
        <w:bidi w:val="0"/>
        <w:spacing w:before="120" w:after="0"/>
        <w:jc w:val="left"/>
        <w:rPr>
          <w:rFonts w:ascii="Times New Roman" w:hAnsi="Times New Roman"/>
          <w:sz w:val="20"/>
        </w:rPr>
      </w:pPr>
      <w:r>
        <w:rPr>
          <w:rFonts w:ascii="Times New Roman" w:hAnsi="Times New Roman"/>
          <w:sz w:val="20"/>
        </w:rPr>
        <w:t xml:space="preserve">(iii) no Class A Borrowing Base Deficit or Borrowing Base Deficit exists or would exist after giving effect to such Class A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immediately after giving effect to such Class A Loan, no Class A Lender’s aggregate outstanding Principal of its Class A Loans will exceed such Class A Lender’s Class A Commitment; and </w:t>
      </w:r>
    </w:p>
    <w:p>
      <w:pPr>
        <w:pStyle w:val="TextBody"/>
        <w:bidi w:val="0"/>
        <w:spacing w:before="120" w:after="0"/>
        <w:jc w:val="left"/>
        <w:rPr>
          <w:rFonts w:ascii="Times New Roman" w:hAnsi="Times New Roman"/>
          <w:sz w:val="20"/>
        </w:rPr>
      </w:pPr>
      <w:r>
        <w:rPr>
          <w:rFonts w:ascii="Times New Roman" w:hAnsi="Times New Roman"/>
          <w:sz w:val="20"/>
        </w:rPr>
        <w:t xml:space="preserve">(v) the Termination Date has not occurred. </w:t>
      </w:r>
    </w:p>
    <w:p>
      <w:pPr>
        <w:pStyle w:val="TextBody"/>
        <w:bidi w:val="0"/>
        <w:spacing w:before="360" w:after="0"/>
        <w:jc w:val="left"/>
        <w:rPr>
          <w:rFonts w:ascii="Times New Roman" w:hAnsi="Times New Roman"/>
          <w:sz w:val="20"/>
        </w:rPr>
      </w:pPr>
      <w:r>
        <w:rPr>
          <w:rFonts w:ascii="Times New Roman" w:hAnsi="Times New Roman"/>
          <w:sz w:val="20"/>
        </w:rPr>
        <w:t xml:space="preserve">SECTION 5.03 </w:t>
      </w:r>
      <w:r>
        <w:rPr>
          <w:rFonts w:ascii="Times New Roman" w:hAnsi="Times New Roman"/>
          <w:b/>
          <w:sz w:val="20"/>
          <w:u w:val="single"/>
        </w:rPr>
        <w:t>Conditions Precedent to All Releases</w:t>
      </w:r>
      <w:r>
        <w:rPr>
          <w:rFonts w:ascii="Times New Roman" w:hAnsi="Times New Roman"/>
          <w:sz w:val="20"/>
        </w:rPr>
        <w:t xml:space="preserve">. Each Release hereunder on or after the Closing Date shall be subject to the conditions precedent that: </w:t>
      </w:r>
    </w:p>
    <w:p>
      <w:pPr>
        <w:pStyle w:val="TextBody"/>
        <w:bidi w:val="0"/>
        <w:spacing w:before="120" w:after="0"/>
        <w:jc w:val="left"/>
        <w:rPr>
          <w:rFonts w:ascii="Times New Roman" w:hAnsi="Times New Roman"/>
          <w:sz w:val="20"/>
        </w:rPr>
      </w:pPr>
      <w:r>
        <w:rPr>
          <w:rFonts w:ascii="Times New Roman" w:hAnsi="Times New Roman"/>
          <w:sz w:val="20"/>
        </w:rPr>
        <w:t xml:space="preserve">(a) after giving effect to such Release, each Servicer shall be holding in trust for the benefit of the Secured Parties an amount of Collections sufficient to pay the sum of (x) all accrued and unpaid Servicing Fees, Interest, Fees and indemnification payments under </w:t>
      </w:r>
      <w:r>
        <w:rPr>
          <w:rFonts w:ascii="Times New Roman" w:hAnsi="Times New Roman"/>
          <w:sz w:val="20"/>
          <w:u w:val="single"/>
        </w:rPr>
        <w:t>Section 4.02</w:t>
      </w:r>
      <w:r>
        <w:rPr>
          <w:rFonts w:ascii="Times New Roman" w:hAnsi="Times New Roman"/>
          <w:sz w:val="20"/>
        </w:rPr>
        <w:t xml:space="preserve">, in each case, through the date of such Release, (y) the amount of any Borrowing Base Deficit or Class A Borrowing Base Deficit and (z) the amount of all other accrued and unpaid Borrower Obligations through the date of such Release; </w:t>
      </w:r>
    </w:p>
    <w:p>
      <w:pPr>
        <w:pStyle w:val="TextBody"/>
        <w:bidi w:val="0"/>
        <w:spacing w:before="120" w:after="0"/>
        <w:jc w:val="left"/>
        <w:rPr>
          <w:rFonts w:ascii="Times New Roman" w:hAnsi="Times New Roman"/>
          <w:sz w:val="20"/>
        </w:rPr>
      </w:pPr>
      <w:r>
        <w:rPr>
          <w:rFonts w:ascii="Times New Roman" w:hAnsi="Times New Roman"/>
          <w:sz w:val="20"/>
        </w:rPr>
        <w:t xml:space="preserve">(b) the Borrower shall use the proceeds of such Release solely to pay the purchase price for Receivables purchased by the Borrower in accordance with the terms of the applicable Transfer Agreement; and </w:t>
      </w:r>
    </w:p>
    <w:p>
      <w:pPr>
        <w:pStyle w:val="TextBody"/>
        <w:bidi w:val="0"/>
        <w:spacing w:before="120" w:after="0"/>
        <w:jc w:val="left"/>
        <w:rPr>
          <w:rFonts w:ascii="Times New Roman" w:hAnsi="Times New Roman"/>
          <w:sz w:val="20"/>
        </w:rPr>
      </w:pPr>
      <w:r>
        <w:rPr>
          <w:rFonts w:ascii="Times New Roman" w:hAnsi="Times New Roman"/>
          <w:sz w:val="20"/>
        </w:rPr>
        <w:t xml:space="preserve">(c) on the date of such Release the following statements shall be true and correct (and upon the occurrence of such Release, the Borrower and each Servicer shall be deemed to have represented and warranted that such statements are then true and correct): </w:t>
      </w:r>
    </w:p>
    <w:p>
      <w:pPr>
        <w:pStyle w:val="TextBody"/>
        <w:bidi w:val="0"/>
        <w:spacing w:before="120" w:after="0"/>
        <w:jc w:val="left"/>
        <w:rPr>
          <w:rFonts w:ascii="Times New Roman" w:hAnsi="Times New Roman"/>
          <w:sz w:val="20"/>
        </w:rPr>
      </w:pPr>
      <w:r>
        <w:rPr>
          <w:rFonts w:ascii="Times New Roman" w:hAnsi="Times New Roman"/>
          <w:sz w:val="20"/>
        </w:rPr>
        <w:t xml:space="preserve">(i) the representations and warranties of the Borrower and the Servicers contained in </w:t>
      </w:r>
      <w:r>
        <w:rPr>
          <w:rFonts w:ascii="Times New Roman" w:hAnsi="Times New Roman"/>
          <w:sz w:val="20"/>
          <w:u w:val="single"/>
        </w:rPr>
        <w:t>Sections 6.01</w:t>
      </w:r>
      <w:r>
        <w:rPr>
          <w:rFonts w:ascii="Times New Roman" w:hAnsi="Times New Roman"/>
          <w:sz w:val="20"/>
        </w:rPr>
        <w:t xml:space="preserve"> and </w:t>
      </w:r>
      <w:r>
        <w:rPr>
          <w:rFonts w:ascii="Times New Roman" w:hAnsi="Times New Roman"/>
          <w:sz w:val="20"/>
          <w:u w:val="single"/>
        </w:rPr>
        <w:t>6.02</w:t>
      </w:r>
      <w:r>
        <w:rPr>
          <w:rFonts w:ascii="Times New Roman" w:hAnsi="Times New Roman"/>
          <w:sz w:val="20"/>
        </w:rPr>
        <w:t xml:space="preserve"> are true and correct in all material respects on and as of the date of such Release as though made on and as of such date unless such representations and warranties by their terms refer to an earlier date, in which case they shall be true and correct in all material respects on and as of such earlier date; </w:t>
      </w:r>
    </w:p>
    <w:p>
      <w:pPr>
        <w:pStyle w:val="TextBody"/>
        <w:bidi w:val="0"/>
        <w:spacing w:before="120" w:after="0"/>
        <w:jc w:val="left"/>
        <w:rPr>
          <w:rFonts w:ascii="Times New Roman" w:hAnsi="Times New Roman"/>
          <w:sz w:val="20"/>
        </w:rPr>
      </w:pPr>
      <w:r>
        <w:rPr>
          <w:rFonts w:ascii="Times New Roman" w:hAnsi="Times New Roman"/>
          <w:sz w:val="20"/>
        </w:rPr>
        <w:t xml:space="preserve">(ii) no Event of Default, Financial Covenant Event or, to the actual knowledge of an Authorized Officer of the Borrower or the Servicer, Potential Default has occurred and is continuing, and no Event of Default, Financial Covenant Event or, to the actual knowledge of an Authorized Officer of the Borrower or the Servicer, Potential Default would result from such Release; </w:t>
      </w:r>
    </w:p>
    <w:p>
      <w:pPr>
        <w:pStyle w:val="TextBody"/>
        <w:bidi w:val="0"/>
        <w:spacing w:before="120" w:after="0"/>
        <w:jc w:val="left"/>
        <w:rPr>
          <w:rFonts w:ascii="Times New Roman" w:hAnsi="Times New Roman"/>
          <w:sz w:val="20"/>
        </w:rPr>
      </w:pPr>
      <w:r>
        <w:rPr>
          <w:rFonts w:ascii="Times New Roman" w:hAnsi="Times New Roman"/>
          <w:sz w:val="20"/>
        </w:rPr>
        <w:t xml:space="preserve">(iii) no Borrowing Base Deficit or Class A Borrowing Base Deficit exists or would exist after giving effect to such Release; and </w:t>
      </w:r>
    </w:p>
    <w:p>
      <w:pPr>
        <w:pStyle w:val="TextBody"/>
        <w:bidi w:val="0"/>
        <w:spacing w:before="120" w:after="0"/>
        <w:jc w:val="left"/>
        <w:rPr>
          <w:rFonts w:ascii="Times New Roman" w:hAnsi="Times New Roman"/>
          <w:sz w:val="20"/>
        </w:rPr>
      </w:pPr>
      <w:r>
        <w:rPr>
          <w:rFonts w:ascii="Times New Roman" w:hAnsi="Times New Roman"/>
          <w:sz w:val="20"/>
        </w:rPr>
        <w:t xml:space="preserve">(iv) the Termination Date has not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240" w:after="0"/>
        <w:jc w:val="center"/>
        <w:rPr>
          <w:rFonts w:ascii="Times New Roman" w:hAnsi="Times New Roman"/>
          <w:b/>
          <w:sz w:val="20"/>
        </w:rPr>
      </w:pPr>
      <w:r>
        <w:rPr>
          <w:rFonts w:ascii="Times New Roman" w:hAnsi="Times New Roman"/>
          <w:b/>
          <w:sz w:val="20"/>
        </w:rPr>
        <w:t xml:space="preserve">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b/>
          <w:sz w:val="20"/>
          <w:u w:val="single"/>
        </w:rPr>
        <w:t>Representations and Warranties of the Borrower</w:t>
      </w:r>
      <w:r>
        <w:rPr>
          <w:rFonts w:ascii="Times New Roman" w:hAnsi="Times New Roman"/>
          <w:sz w:val="20"/>
        </w:rPr>
        <w:t xml:space="preserve">. The Borrower represents and warrants to each Credit Party as of the Closing Date, on each Settlement Date and on each day that a Credit Extension or Release shall have occurred: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u w:val="single"/>
        </w:rPr>
        <w:t>Organization and Good Standing</w:t>
      </w:r>
      <w:r>
        <w:rPr>
          <w:rFonts w:ascii="Times New Roman" w:hAnsi="Times New Roman"/>
          <w:sz w:val="20"/>
        </w:rPr>
        <w:t xml:space="preserve">. The Borrower is a limited liability company duly organized and validly existing in good standing under the laws of the State of Delaware and has full power and authority under its constitutional documents and under the laws of its jurisdiction to own its properties and to conduct its business as such properties are currently owned and such business is presently conducted.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u w:val="single"/>
        </w:rPr>
        <w:t>Due Qualification</w:t>
      </w:r>
      <w:r>
        <w:rPr>
          <w:rFonts w:ascii="Times New Roman" w:hAnsi="Times New Roman"/>
          <w:sz w:val="20"/>
        </w:rPr>
        <w:t xml:space="preserve">. The Borrower is duly qualified to do business as a limited liability company, is in good standing as a foreign limited liability company and has obtained all necessary licenses and approvals in all jurisdictions in which the conduct of its business requires such qualification, licenses or approvals, except where the failure to do so could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u w:val="single"/>
        </w:rPr>
        <w:t>Power and Authority; Due Authorization</w:t>
      </w:r>
      <w:r>
        <w:rPr>
          <w:rFonts w:ascii="Times New Roman" w:hAnsi="Times New Roman"/>
          <w:sz w:val="20"/>
        </w:rPr>
        <w:t xml:space="preserve">. The Borrower (i) has all necessary limited liability company power and authority to (A) execute and deliver this Agreement and the other Transaction Documents to which it is a party, (B) perform its obligations under this Agreement and the other Transaction Documents to which it is a party and (C) grant a security interest in the Collateral to the Administrative Agent on the terms and subject to the conditions herein provided and (ii) has duly authorized by all necessary limited liability company action such grant and the execution, delivery and performance of, and the consummation of the transactions provided for in, this Agreement and the other Transaction Documents to which it is a party.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sz w:val="20"/>
          <w:u w:val="single"/>
        </w:rPr>
        <w:t>Binding Obligations</w:t>
      </w:r>
      <w:r>
        <w:rPr>
          <w:rFonts w:ascii="Times New Roman" w:hAnsi="Times New Roman"/>
          <w:sz w:val="20"/>
        </w:rPr>
        <w:t xml:space="preserve">. This Agreement and each of the other Transaction Documents to which the Borrower is a party has been duly authorized, validly executed and delivered by the Borrower and constitutes the legal, valid and binding obligations of the Borrower, enforceable against the Borrower in accordance with their respective terms, except (i) as such enforceability may be limited by applicable bankruptcy, insolvency, reorganization, moratorium or other similar laws affecting the enforcement of creditors’ rights generally and (ii) as such enforceability may be limited by general principles of equity, regardless of whether such enforceability is considered in a proceeding in equity or at law.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b/>
          <w:sz w:val="20"/>
          <w:u w:val="single"/>
        </w:rPr>
        <w:t>No Conflict or Violation</w:t>
      </w:r>
      <w:r>
        <w:rPr>
          <w:rFonts w:ascii="Times New Roman" w:hAnsi="Times New Roman"/>
          <w:sz w:val="20"/>
        </w:rPr>
        <w:t xml:space="preserve">. The execution, delivery and performance of, and the consummation of the transactions contemplated by, this Agreement and the other Transaction Documents to which the Borrower is a party, and the fulfillment of the terms hereof and thereof, will not (i) conflict with, result in any breach of any of the terms or provisions of, or constitute (with or without notice or lapse of time or both) a default under its organizational documents or any indenture, sale agreement, credit agreement, loan agreement, security agreement, mortgage, deed of trust, or other material agreement or instrument to which the Borrower is a party or by which it or any of its properties is bound, (ii) result in the creation or imposition of any Adverse Claim upon any of the Collateral pursuant to the terms of any such indenture, credit agreement, loan agreement, security agreement, mortgage, deed of trust, or other agreement or instrument other than this Agreement and the other Transaction Documents or (iii) conflict with or violate any applicable Law, other than, in the case of clause (iii), to the extent that any such conflict would not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b/>
          <w:sz w:val="20"/>
          <w:u w:val="single"/>
        </w:rPr>
        <w:t>Litigation and Other Proceedings</w:t>
      </w:r>
      <w:r>
        <w:rPr>
          <w:rFonts w:ascii="Times New Roman" w:hAnsi="Times New Roman"/>
          <w:sz w:val="20"/>
        </w:rPr>
        <w:t xml:space="preserve">. (i) There is no action, suit, proceeding or investigation pending or, to the best knowledge of the Borrower, threatened, against the Borrower before any Official Body and (ii) the Borrower is not subject to any order, judgment, decree, injunction, stipulation or consent order of or with any Official Body that, in the case of either of the foregoing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(A) asserts the invalidity of this Agreement or any other Transaction Document, (B) seeks to prevent the grant of a security interest in any Collateral by the Borrower to the Administrative Agent, the ownership or acquisition by the Borrower of any Pool Receivable or other Collateral or the consummation of any of the transactions contemplated by this Agreement or any other Transaction Document, (C) seeks any determination or ruling that could materially and adversely affect the performance by the Borrower of its obligations under, or the validity or enforceability of, this Agreement or any other Transaction Document or (D) individually or in the aggregate for all such actions, suits, proceedings and investigations would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b/>
          <w:sz w:val="20"/>
          <w:u w:val="single"/>
        </w:rPr>
        <w:t>Governmental Approvals</w:t>
      </w:r>
      <w:r>
        <w:rPr>
          <w:rFonts w:ascii="Times New Roman" w:hAnsi="Times New Roman"/>
          <w:sz w:val="20"/>
        </w:rPr>
        <w:t xml:space="preserve">. Except where the failure to obtain or make such authorization, consent, order, approval or action would not reasonably be expected to have a Material Adverse Effect, all authorizations, consents, orders and approvals of, or other actions by, any Official Body that are required to be obtained by the Borrower in connection with the grant of a security interest in the Collateral to the Administrative Agent hereunder or the due execution, delivery and performance by the Borrower of this Agreement or any other Transaction Document to which it is a party and the consummation by the Borrower of the transactions contemplated by this Agreement and the other Transaction Documents to which it is a party have been obtained or made and are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b/>
          <w:sz w:val="20"/>
          <w:u w:val="single"/>
        </w:rPr>
        <w:t>Margin Regulations</w:t>
      </w:r>
      <w:r>
        <w:rPr>
          <w:rFonts w:ascii="Times New Roman" w:hAnsi="Times New Roman"/>
          <w:sz w:val="20"/>
        </w:rPr>
        <w:t xml:space="preserve">. The Borrower is not engaged, principally or as one of its important activities, in the business of extending credit for the purpose of purchasing or carrying margin stock (within the meanings of Regulations T, U and X of the Board of Governors of the Federal Reserve System).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b/>
          <w:sz w:val="20"/>
          <w:u w:val="single"/>
        </w:rPr>
        <w:t>Solvency</w:t>
      </w:r>
      <w:r>
        <w:rPr>
          <w:rFonts w:ascii="Times New Roman" w:hAnsi="Times New Roman"/>
          <w:sz w:val="20"/>
        </w:rPr>
        <w:t xml:space="preserve">. After giving effect to the transactions contemplated by this Agreement and the other Transaction Documents, the Borrower is Solvent.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b/>
          <w:sz w:val="20"/>
          <w:u w:val="single"/>
        </w:rPr>
        <w:t>Offices; Legal Name</w:t>
      </w:r>
      <w:r>
        <w:rPr>
          <w:rFonts w:ascii="Times New Roman" w:hAnsi="Times New Roman"/>
          <w:sz w:val="20"/>
        </w:rPr>
        <w:t xml:space="preserve">. The Borrower’s sole jurisdiction of organization is the State of Delaware and such jurisdiction has not changed within four months prior to the date of this Agreement. The office of the Borrower is located at 3150 Sabre Drive, Southlake, TX 76092. The legal name of the Borrower is Sabre Securitization, LLC.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b/>
          <w:sz w:val="20"/>
          <w:u w:val="single"/>
        </w:rPr>
        <w:t>Investment Company Act; Volcker Rule</w:t>
      </w:r>
      <w:r>
        <w:rPr>
          <w:rFonts w:ascii="Times New Roman" w:hAnsi="Times New Roman"/>
          <w:sz w:val="20"/>
        </w:rPr>
        <w:t xml:space="preserve">. The Borrower (i) is not, and is not controlled by, an “investment company” registered or required to be registered under the Investment Company Act and (ii) is not a “covered fund” under the Volcker Rule. In determining that the Borrower is not a “covered fund” under the Volcker Rule, the Borrower relies on, and is entitled to rely on, the exemption from the definition of “investment company” set forth in Section 3(c)(5) of the Investment Company Act.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b/>
          <w:sz w:val="20"/>
          <w:u w:val="single"/>
        </w:rPr>
        <w:t>No Material Adverse Effect</w:t>
      </w:r>
      <w:r>
        <w:rPr>
          <w:rFonts w:ascii="Times New Roman" w:hAnsi="Times New Roman"/>
          <w:sz w:val="20"/>
        </w:rPr>
        <w:t xml:space="preserve">. Since the date of formation of the Borrower there has been no Material Adverse Effect with respect to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w:t>
      </w:r>
      <w:r>
        <w:rPr>
          <w:rFonts w:ascii="Times New Roman" w:hAnsi="Times New Roman"/>
          <w:b/>
          <w:sz w:val="20"/>
          <w:u w:val="single"/>
        </w:rPr>
        <w:t>Accuracy of Information</w:t>
      </w:r>
      <w:r>
        <w:rPr>
          <w:rFonts w:ascii="Times New Roman" w:hAnsi="Times New Roman"/>
          <w:sz w:val="20"/>
        </w:rPr>
        <w:t xml:space="preserve">. All Pool Reports, Loan Requests, certificates, reports, statements, documents and other written information furnished to the Administrative Agent or any other Credit Party by or on behalf of the Borrower pursuant to any provision of this Agreement or any other Transaction Document, or in connection with or pursuant to any amendment or modification of, or waiver under, this Agreement or any other Transaction Document, are, at the time the same are so furnished, complete and correct in all material respects on the date the same are furnished to the Administrative Agent or such other Credit Party, and do not contain any material misstatement of fact or omit to state a material fact or any fact necessary to make the statements contained therein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b/>
          <w:sz w:val="20"/>
          <w:u w:val="single"/>
        </w:rPr>
        <w:t>Sanctions and other Anti-Terrorism Laws</w:t>
      </w:r>
      <w:r>
        <w:rPr>
          <w:rFonts w:ascii="Times New Roman" w:hAnsi="Times New Roman"/>
          <w:sz w:val="20"/>
        </w:rPr>
        <w:t xml:space="preserve">. No: (a) Covered Entity, nor, to its knowledge, any officers, or directors thereof: (i) is a Sanctioned Person; or (ii) directly, or indirectly through any third party, is engaged in any transactions or other dealings with or for the benefit of any Sanctioned Person or Sanctioned Jurisdiction, or any transactions or other dealings, in each case in violation of Sanctions or Anti-Terrorism Laws; and (b) Collateral is Blocked Property.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b/>
          <w:sz w:val="20"/>
          <w:u w:val="single"/>
        </w:rPr>
        <w:t>Anti-Corruption Laws</w:t>
      </w:r>
      <w:r>
        <w:rPr>
          <w:rFonts w:ascii="Times New Roman" w:hAnsi="Times New Roman"/>
          <w:sz w:val="20"/>
        </w:rPr>
        <w:t xml:space="preserve">. Each Covered Entity has (a) conducted its business in compliance with all Anti-Corruption Laws and (b) has instituted and maintains policies and procedures reasonably designed to promote compliance with such Laws.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b/>
          <w:sz w:val="20"/>
          <w:u w:val="single"/>
        </w:rPr>
        <w:t>Perfection Representations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This Agreement creates a valid and continuing security interest (as defined in the applicable UCC) in the Borrower’s right, title and interest in, to and under the Collateral which (A) security interest has been perfected and is enforceable against creditors of and purchasers from the Borrower and (B) will be free of all Adverse Claims in such Collateral. </w:t>
      </w:r>
    </w:p>
    <w:p>
      <w:pPr>
        <w:pStyle w:val="TextBody"/>
        <w:bidi w:val="0"/>
        <w:spacing w:before="120" w:after="0"/>
        <w:jc w:val="left"/>
        <w:rPr>
          <w:rFonts w:ascii="Times New Roman" w:hAnsi="Times New Roman"/>
          <w:sz w:val="20"/>
        </w:rPr>
      </w:pPr>
      <w:r>
        <w:rPr>
          <w:rFonts w:ascii="Times New Roman" w:hAnsi="Times New Roman"/>
          <w:sz w:val="20"/>
        </w:rPr>
        <w:t xml:space="preserve">(ii) The Receivables constitute “accounts” or “general intangibles” within the meaning of Section 9-102 of the UCC. </w:t>
      </w:r>
    </w:p>
    <w:p>
      <w:pPr>
        <w:pStyle w:val="TextBody"/>
        <w:bidi w:val="0"/>
        <w:spacing w:before="120" w:after="0"/>
        <w:jc w:val="left"/>
        <w:rPr>
          <w:rFonts w:ascii="Times New Roman" w:hAnsi="Times New Roman"/>
          <w:sz w:val="20"/>
        </w:rPr>
      </w:pPr>
      <w:r>
        <w:rPr>
          <w:rFonts w:ascii="Times New Roman" w:hAnsi="Times New Roman"/>
          <w:sz w:val="20"/>
        </w:rPr>
        <w:t xml:space="preserve">(iii) The Borrower owns and has good and marketable title to the Collateral free and clear of any Adverse Claim of any Person. </w:t>
      </w:r>
    </w:p>
    <w:p>
      <w:pPr>
        <w:pStyle w:val="TextBody"/>
        <w:bidi w:val="0"/>
        <w:spacing w:before="120" w:after="0"/>
        <w:jc w:val="left"/>
        <w:rPr>
          <w:rFonts w:ascii="Times New Roman" w:hAnsi="Times New Roman"/>
          <w:sz w:val="20"/>
        </w:rPr>
      </w:pPr>
      <w:r>
        <w:rPr>
          <w:rFonts w:ascii="Times New Roman" w:hAnsi="Times New Roman"/>
          <w:sz w:val="20"/>
        </w:rPr>
        <w:t>(iv) All appropriate financing statements, financing statement amendments and continuation statements have been filed in the proper filing office in the appropriate jurisdictions under applicable Law in order to perfect (and continue the perfection of) the sale and contribution of the Receivables and Related Security from each Originator to the Borrower pursuant to the applicable Transfer Agreement and the grant by the Borrower of a security interest in the Collateral to the Administrative Agent pursuant to this Agreement</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the UK Security Agreement</w:t>
      </w:r>
      <w:r>
        <w:rPr>
          <w:rFonts w:ascii="Times New Roman" w:hAnsi="Times New Roman"/>
          <w:color w:val="0000FF"/>
          <w:sz w:val="20"/>
          <w:u w:val="single"/>
          <w:bdr w:val="double" w:sz="2" w:space="1" w:color="000000"/>
        </w:rPr>
        <w:t xml:space="preserve"> and the SG Security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(v) Other than the security interest granted to the Administrative Agent pursuant to this Agreement</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the UK </w:t>
      </w:r>
      <w:r>
        <w:rPr>
          <w:rFonts w:ascii="Times New Roman" w:hAnsi="Times New Roman"/>
          <w:color w:val="0000FF"/>
          <w:sz w:val="20"/>
          <w:u w:val="single"/>
          <w:bdr w:val="double" w:sz="2" w:space="1" w:color="000000"/>
        </w:rPr>
        <w:t xml:space="preserve">Security Agreement and the SG </w:t>
      </w:r>
      <w:r>
        <w:rPr>
          <w:rFonts w:ascii="Times New Roman" w:hAnsi="Times New Roman"/>
          <w:sz w:val="20"/>
        </w:rPr>
        <w:t xml:space="preserve">Security Agreement, the Borrower has not pledged, assigned, sold, granted a security interest in, or otherwise conveyed any of the Collateral except as permitted by this Agreement and the other Transaction Documents. The Borrower has not authorized the filing of and is not aware of any financing statements filed against the Borrower that include a description of collateral covering the Collateral other than any financing statement (i) in favor of the Administrative Agent or (ii) that has been terminated. The Borrower is not aware of any judgment lien, ERISA lien or tax lien filings against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Notwithstanding any other provision of this Agreement or any other Transaction Document, the representations contained in this </w:t>
      </w:r>
      <w:r>
        <w:rPr>
          <w:rFonts w:ascii="Times New Roman" w:hAnsi="Times New Roman"/>
          <w:sz w:val="20"/>
          <w:u w:val="single"/>
        </w:rPr>
        <w:t>Section 6.01(p)</w:t>
      </w:r>
      <w:r>
        <w:rPr>
          <w:rFonts w:ascii="Times New Roman" w:hAnsi="Times New Roman"/>
          <w:sz w:val="20"/>
        </w:rPr>
        <w:t xml:space="preserve"> shall be continuing and remain in full force and effect until the Final Payout Date.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b/>
          <w:sz w:val="20"/>
          <w:u w:val="single"/>
        </w:rPr>
        <w:t>The Lock-Boxes and Collection Accounts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b/>
          <w:sz w:val="20"/>
          <w:u w:val="single"/>
        </w:rPr>
        <w:t>Nature of Collection Accounts</w:t>
      </w:r>
      <w:r>
        <w:rPr>
          <w:rFonts w:ascii="Times New Roman" w:hAnsi="Times New Roman"/>
          <w:sz w:val="20"/>
        </w:rPr>
        <w:t xml:space="preserve">. Each Collection Account constitutes a “deposit account” within the meaning of the applicable UCC.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b/>
          <w:sz w:val="20"/>
          <w:u w:val="single"/>
        </w:rPr>
        <w:t>Ownership</w:t>
      </w:r>
      <w:r>
        <w:rPr>
          <w:rFonts w:ascii="Times New Roman" w:hAnsi="Times New Roman"/>
          <w:sz w:val="20"/>
        </w:rPr>
        <w:t xml:space="preserve">. Each Lock-Box and Collection Account is in the name of the Borrower, and the Borrower owns and has good and marketable title to the Collection Accounts free and clear of any Adverse Claim.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b/>
          <w:sz w:val="20"/>
          <w:u w:val="single"/>
        </w:rPr>
        <w:t>Perfection</w:t>
      </w:r>
      <w:r>
        <w:rPr>
          <w:rFonts w:ascii="Times New Roman" w:hAnsi="Times New Roman"/>
          <w:sz w:val="20"/>
        </w:rPr>
        <w:t xml:space="preserve">. The Borrower has delivered to the Administrative Agent a fully executed Account Control Agreement relating to each Lock-Box and Collection Account, pursuant to which each applicable Collection Account Bank has agreed to comply with the instructions originated by the Administrative Agent directing the disposition of funds in such Lock-Box and Collection Account without further consent by the Borrower, the Servicers or any other Person. The Administrative Agent has “control” (as defined in Section 9-104 of the UCC) over each </w:t>
      </w:r>
      <w:r>
        <w:rPr>
          <w:rFonts w:ascii="Times New Roman" w:hAnsi="Times New Roman"/>
          <w:color w:val="0000FF"/>
          <w:sz w:val="20"/>
          <w:u w:val="single"/>
          <w:bdr w:val="double" w:sz="2" w:space="1" w:color="000000"/>
        </w:rPr>
        <w:t xml:space="preserve">U.S. </w:t>
      </w:r>
      <w:r>
        <w:rPr>
          <w:rFonts w:ascii="Times New Roman" w:hAnsi="Times New Roman"/>
          <w:sz w:val="20"/>
        </w:rPr>
        <w:t xml:space="preserve">Collection Account.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b/>
          <w:sz w:val="20"/>
          <w:u w:val="single"/>
        </w:rPr>
        <w:t>Instructions</w:t>
      </w:r>
      <w:r>
        <w:rPr>
          <w:rFonts w:ascii="Times New Roman" w:hAnsi="Times New Roman"/>
          <w:sz w:val="20"/>
        </w:rPr>
        <w:t xml:space="preserve">. Neither the Lock-Boxes nor the Collection Accounts are in the name of any Person other than the Borrower. Neither the Borrower nor each Servicer has consented to the applicable Collection Account Bank complying with instructions of any Person other than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(r) </w:t>
      </w:r>
      <w:r>
        <w:rPr>
          <w:rFonts w:ascii="Times New Roman" w:hAnsi="Times New Roman"/>
          <w:b/>
          <w:sz w:val="20"/>
          <w:u w:val="single"/>
        </w:rPr>
        <w:t>Ordinary Course of Business</w:t>
      </w:r>
      <w:r>
        <w:rPr>
          <w:rFonts w:ascii="Times New Roman" w:hAnsi="Times New Roman"/>
          <w:sz w:val="20"/>
        </w:rPr>
        <w:t xml:space="preserve">. Each remittance of Collections by or on behalf of the Borrower to the Credit Parties under this Agreement will have been (i) in payment of a debt incurred by the Borrower in the ordinary course of business or financial affairs of the Borrower and (ii) made in the ordinary course of business or financial affairs of the Borrower. </w:t>
      </w:r>
    </w:p>
    <w:p>
      <w:pPr>
        <w:pStyle w:val="TextBody"/>
        <w:bidi w:val="0"/>
        <w:spacing w:before="120" w:after="0"/>
        <w:jc w:val="left"/>
        <w:rPr>
          <w:rFonts w:ascii="Times New Roman" w:hAnsi="Times New Roman"/>
          <w:sz w:val="20"/>
        </w:rPr>
      </w:pPr>
      <w:r>
        <w:rPr>
          <w:rFonts w:ascii="Times New Roman" w:hAnsi="Times New Roman"/>
          <w:sz w:val="20"/>
        </w:rPr>
        <w:t xml:space="preserve">(s) </w:t>
      </w:r>
      <w:r>
        <w:rPr>
          <w:rFonts w:ascii="Times New Roman" w:hAnsi="Times New Roman"/>
          <w:b/>
          <w:sz w:val="20"/>
          <w:u w:val="single"/>
        </w:rPr>
        <w:t>Compliance with Law</w:t>
      </w:r>
      <w:r>
        <w:rPr>
          <w:rFonts w:ascii="Times New Roman" w:hAnsi="Times New Roman"/>
          <w:sz w:val="20"/>
        </w:rPr>
        <w:t xml:space="preserve">. The Borrower has complied in all material respects with all Laws to which it may be subject. </w:t>
      </w:r>
    </w:p>
    <w:p>
      <w:pPr>
        <w:pStyle w:val="TextBody"/>
        <w:bidi w:val="0"/>
        <w:spacing w:before="120" w:after="0"/>
        <w:jc w:val="left"/>
        <w:rPr>
          <w:rFonts w:ascii="Times New Roman" w:hAnsi="Times New Roman"/>
          <w:sz w:val="20"/>
        </w:rPr>
      </w:pPr>
      <w:r>
        <w:rPr>
          <w:rFonts w:ascii="Times New Roman" w:hAnsi="Times New Roman"/>
          <w:sz w:val="20"/>
        </w:rPr>
        <w:t xml:space="preserve">(t) </w:t>
      </w:r>
      <w:r>
        <w:rPr>
          <w:rFonts w:ascii="Times New Roman" w:hAnsi="Times New Roman"/>
          <w:b/>
          <w:sz w:val="20"/>
          <w:u w:val="single"/>
        </w:rPr>
        <w:t>Bulk Sales Act</w:t>
      </w:r>
      <w:r>
        <w:rPr>
          <w:rFonts w:ascii="Times New Roman" w:hAnsi="Times New Roman"/>
          <w:sz w:val="20"/>
        </w:rPr>
        <w:t xml:space="preserve">. No transaction contemplated by this Agreement requires compliance by it with any bulk sales act or similar law. </w:t>
      </w:r>
    </w:p>
    <w:p>
      <w:pPr>
        <w:pStyle w:val="TextBody"/>
        <w:bidi w:val="0"/>
        <w:spacing w:before="120" w:after="0"/>
        <w:jc w:val="left"/>
        <w:rPr>
          <w:rFonts w:ascii="Times New Roman" w:hAnsi="Times New Roman"/>
          <w:sz w:val="20"/>
        </w:rPr>
      </w:pPr>
      <w:r>
        <w:rPr>
          <w:rFonts w:ascii="Times New Roman" w:hAnsi="Times New Roman"/>
          <w:sz w:val="20"/>
        </w:rPr>
        <w:t xml:space="preserve">(u) </w:t>
      </w:r>
      <w:r>
        <w:rPr>
          <w:rFonts w:ascii="Times New Roman" w:hAnsi="Times New Roman"/>
          <w:b/>
          <w:sz w:val="20"/>
          <w:u w:val="single"/>
        </w:rPr>
        <w:t>Eligible Receivables</w:t>
      </w:r>
      <w:r>
        <w:rPr>
          <w:rFonts w:ascii="Times New Roman" w:hAnsi="Times New Roman"/>
          <w:sz w:val="20"/>
        </w:rPr>
        <w:t xml:space="preserve">. Each Receivable included as an Eligible Receivable in the calculation of the Net Receivables Pool Balance as of any date is an Eligible Receivable as of such date.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b/>
          <w:sz w:val="20"/>
          <w:u w:val="single"/>
        </w:rPr>
        <w:t>Taxes</w:t>
      </w:r>
      <w:r>
        <w:rPr>
          <w:rFonts w:ascii="Times New Roman" w:hAnsi="Times New Roman"/>
          <w:sz w:val="20"/>
        </w:rPr>
        <w:t xml:space="preserve">. The Borrower has (i) filed or caused to be filed all federal and material state and local tax returns required to be filed by it to date and (ii) paid, or caused to be paid, all taxes, assessments and other governmental charges, if any, other than taxes, assessments and other governmental charges being contested in good faith by appropriate proceedings and as to which adequate reserves have been provided in accordance with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 </w:t>
      </w:r>
      <w:r>
        <w:rPr>
          <w:rFonts w:ascii="Times New Roman" w:hAnsi="Times New Roman"/>
          <w:b/>
          <w:sz w:val="20"/>
          <w:u w:val="single"/>
        </w:rPr>
        <w:t>Tax Status</w:t>
      </w:r>
      <w:r>
        <w:rPr>
          <w:rFonts w:ascii="Times New Roman" w:hAnsi="Times New Roman"/>
          <w:sz w:val="20"/>
        </w:rPr>
        <w:t xml:space="preserve">. The Borrower is, and shall at all relevant times continue to be, a “disregarded entity” within the meaning of U.S. Treasury Regulation § 301.7701-3 for U.S. federal income tax purposes that is wholly owned by an entity that is (I) a “United States person” (within the meaning of Section 7701(a)(30) of the Code) and (II) a “qualified person” under Article 23 of the U.S.-U.K. Treaty. The Borrower is not subject to any Tax in any jurisdiction outside the United States. The </w:t>
      </w:r>
      <w:r>
        <w:rPr>
          <w:rFonts w:ascii="Times New Roman" w:hAnsi="Times New Roman"/>
          <w:color w:val="0000FF"/>
          <w:sz w:val="20"/>
          <w:u w:val="single"/>
          <w:bdr w:val="double" w:sz="2" w:space="1" w:color="000000"/>
        </w:rPr>
        <w:t xml:space="preserve">Receivables are not in respect of royalty charges, rental charges in respect of the use of any goods or service fees charged for technical or management services rendered in Singapore and no Receivables relate to real property or real property rights (including rental agreements) in Singapore, to services provided in connection with land or any improvement thereto situated inside Singapore or goods situated inside Singapore at the time the services are performed. Sabre AP will receive an arm’s length remuneration for its services provided under this Agreement in accordance with Singapore’s transfer pricing guidelines published by Singapore’s tax authority from time to time. The </w:t>
      </w:r>
      <w:r>
        <w:rPr>
          <w:rFonts w:ascii="Times New Roman" w:hAnsi="Times New Roman"/>
          <w:sz w:val="20"/>
        </w:rPr>
        <w:t xml:space="preserve">Borrower is not subject to material Taxes based on net income or gross receipts imposed by a state or local taxing authority. </w:t>
      </w:r>
    </w:p>
    <w:p>
      <w:pPr>
        <w:pStyle w:val="TextBody"/>
        <w:bidi w:val="0"/>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b/>
          <w:sz w:val="20"/>
          <w:u w:val="single"/>
        </w:rPr>
        <w:t>Opinions</w:t>
      </w:r>
      <w:r>
        <w:rPr>
          <w:rFonts w:ascii="Times New Roman" w:hAnsi="Times New Roman"/>
          <w:sz w:val="20"/>
        </w:rPr>
        <w:t xml:space="preserve">. The facts regarding the Borrower, each Servicer, each Originator, the Performance Guarantor, the Receivables, the Related Security and the related matters set forth or assumed in each of the opinions of counsel delivered in connection with this Agreement and the Transaction Documents relating to “true sale” and “substantive consolidation” matters are true and correct in all material respects. </w:t>
      </w:r>
    </w:p>
    <w:p>
      <w:pPr>
        <w:pStyle w:val="TextBody"/>
        <w:bidi w:val="0"/>
        <w:spacing w:before="120" w:after="0"/>
        <w:jc w:val="left"/>
        <w:rPr>
          <w:rFonts w:ascii="Times New Roman" w:hAnsi="Times New Roman"/>
          <w:sz w:val="20"/>
        </w:rPr>
      </w:pPr>
      <w:r>
        <w:rPr>
          <w:rFonts w:ascii="Times New Roman" w:hAnsi="Times New Roman"/>
          <w:sz w:val="20"/>
        </w:rPr>
        <w:t xml:space="preserve">(y) </w:t>
      </w:r>
      <w:r>
        <w:rPr>
          <w:rFonts w:ascii="Times New Roman" w:hAnsi="Times New Roman"/>
          <w:b/>
          <w:sz w:val="20"/>
          <w:u w:val="single"/>
        </w:rPr>
        <w:t>No Linked Accounts</w:t>
      </w:r>
      <w:r>
        <w:rPr>
          <w:rFonts w:ascii="Times New Roman" w:hAnsi="Times New Roman"/>
          <w:sz w:val="20"/>
        </w:rPr>
        <w:t xml:space="preserve">. Except for any Permitted Linked Account, there are no Linked Accounts with respect to any Collection Account. </w:t>
      </w:r>
    </w:p>
    <w:p>
      <w:pPr>
        <w:pStyle w:val="TextBody"/>
        <w:bidi w:val="0"/>
        <w:spacing w:before="120" w:after="0"/>
        <w:jc w:val="left"/>
        <w:rPr>
          <w:rFonts w:ascii="Times New Roman" w:hAnsi="Times New Roman"/>
          <w:sz w:val="20"/>
        </w:rPr>
      </w:pPr>
      <w:r>
        <w:rPr>
          <w:rFonts w:ascii="Times New Roman" w:hAnsi="Times New Roman"/>
          <w:sz w:val="20"/>
        </w:rPr>
        <w:t xml:space="preserve">(z) </w:t>
      </w:r>
      <w:r>
        <w:rPr>
          <w:rFonts w:ascii="Times New Roman" w:hAnsi="Times New Roman"/>
          <w:b/>
          <w:sz w:val="20"/>
          <w:u w:val="single"/>
        </w:rPr>
        <w:t>Liquidity Coverage Ratio</w:t>
      </w:r>
      <w:r>
        <w:rPr>
          <w:rFonts w:ascii="Times New Roman" w:hAnsi="Times New Roman"/>
          <w:sz w:val="20"/>
        </w:rPr>
        <w:t xml:space="preserve">. The Borrower has not, does not and will not during this Agreement issue any LCR Security. The Borrower further represents and warrants that its assets and liabilities are consolidated with the assets and liabilities of the Parent for purposes of GAAP. </w:t>
      </w:r>
    </w:p>
    <w:p>
      <w:pPr>
        <w:pStyle w:val="TextBody"/>
        <w:bidi w:val="0"/>
        <w:spacing w:before="120" w:after="0"/>
        <w:jc w:val="left"/>
        <w:rPr>
          <w:rFonts w:ascii="Times New Roman" w:hAnsi="Times New Roman"/>
          <w:sz w:val="20"/>
        </w:rPr>
      </w:pPr>
      <w:r>
        <w:rPr>
          <w:rFonts w:ascii="Times New Roman" w:hAnsi="Times New Roman"/>
          <w:sz w:val="20"/>
        </w:rPr>
        <w:t xml:space="preserve">(aa) </w:t>
      </w:r>
      <w:r>
        <w:rPr>
          <w:rFonts w:ascii="Times New Roman" w:hAnsi="Times New Roman"/>
          <w:b/>
          <w:sz w:val="20"/>
          <w:u w:val="single"/>
        </w:rPr>
        <w:t>Certificate of Beneficial Ownership</w:t>
      </w:r>
      <w:r>
        <w:rPr>
          <w:rFonts w:ascii="Times New Roman" w:hAnsi="Times New Roman"/>
          <w:sz w:val="20"/>
        </w:rPr>
        <w:t xml:space="preserve">. As of the Closing Date, the Borrower is an entity that is organized under the laws of the United States or of any state and at least 51% of whose common stock or analogous equity interest is owned directly or indirectly by a company listed on the New York Stock Exchange or the American Stock Exchange or designated as a NASDAQ National Market Security listed on the NASDAQ stock exchange and is excluded on that basis from the definition of “Legal Entity Customer” as defined in the Beneficial Ownership Rule. </w:t>
      </w:r>
    </w:p>
    <w:p>
      <w:pPr>
        <w:pStyle w:val="TextBody"/>
        <w:bidi w:val="0"/>
        <w:spacing w:before="120" w:after="0"/>
        <w:jc w:val="left"/>
        <w:rPr>
          <w:rFonts w:ascii="Times New Roman" w:hAnsi="Times New Roman"/>
          <w:sz w:val="20"/>
        </w:rPr>
      </w:pPr>
      <w:r>
        <w:rPr>
          <w:rFonts w:ascii="Times New Roman" w:hAnsi="Times New Roman"/>
          <w:sz w:val="20"/>
        </w:rPr>
        <w:t xml:space="preserve">(bb) </w:t>
      </w:r>
      <w:r>
        <w:rPr>
          <w:rFonts w:ascii="Times New Roman" w:hAnsi="Times New Roman"/>
          <w:b/>
          <w:sz w:val="20"/>
          <w:u w:val="single"/>
        </w:rPr>
        <w:t>Plan Assets</w:t>
      </w:r>
      <w:r>
        <w:rPr>
          <w:rFonts w:ascii="Times New Roman" w:hAnsi="Times New Roman"/>
          <w:sz w:val="20"/>
        </w:rPr>
        <w:t xml:space="preserve">. The assets of the Borrower do not constitute “plan assets” (within the meaning of 29 CFR § 2510.3-101, as modified by Section 3(42) of ERISA) and the Borrower is not subject to any applicable law that is similar to the provisions of Section 406 of ERISA or Section 4975 of the Code that would be violated by the transactions contemplated by this Agreement or any other Transaction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(cc) </w:t>
      </w:r>
      <w:r>
        <w:rPr>
          <w:rFonts w:ascii="Times New Roman" w:hAnsi="Times New Roman"/>
          <w:b/>
          <w:sz w:val="20"/>
          <w:u w:val="single"/>
        </w:rPr>
        <w:t>ERISA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Plan is in compliance in all material respects with the applicable provisions of ERISA, the Code and other federal or state Laws. Each Plan that is intended to qualify under Section 401(a) of the Code has received from the IRS a favorable determination or opinion letter, which has not by its terms expired, that such Plan is so qualified, or such Plan is entitled to rely on an IRS advisory or opinion letter with respect to an IRS-approved master and prototype or volume submitter plan, or a timely application for such a determination or opinion letter is currently being processed by the IRS with respect thereto; and, to the best knowledge of Borrower, nothing has occurred which would prevent, or cause the loss of, such qualification. Borrower and each member of the ERISA Group have made all required contributions to each Pension Plan subject to Sections 412 or 430 of the Code, and no application for a funding waiver or an extension of any amortization period pursuant to Sections 412 or 430 of the Code has been made with respect to any Pension Plan. </w:t>
      </w:r>
    </w:p>
    <w:p>
      <w:pPr>
        <w:pStyle w:val="TextBody"/>
        <w:bidi w:val="0"/>
        <w:spacing w:before="120" w:after="0"/>
        <w:jc w:val="left"/>
        <w:rPr>
          <w:rFonts w:ascii="Times New Roman" w:hAnsi="Times New Roman"/>
          <w:sz w:val="20"/>
        </w:rPr>
      </w:pPr>
      <w:r>
        <w:rPr>
          <w:rFonts w:ascii="Times New Roman" w:hAnsi="Times New Roman"/>
          <w:sz w:val="20"/>
        </w:rPr>
        <w:t xml:space="preserve">(ii) (A) No ERISA Event has occurred or is reasonably expected to occur; (B) no Pension Plan has any unfunded pension liability (i.e., excess of benefit liabilities over the current value of that Pension Plan’s assets, determined pursuant to the assumptions used for funding the Pension Plan for the applicable plan year in accordance with Section 430 of the Code); (C) neither Borrower nor any member of the ERISA Group has incurred, or reasonably expects to incur, any liability under Title IV of ERISA with respect to any Pension Plan (other than premiums due and not delinquent under Section 4007 of ERISA); (D) neither Borrower nor any member of the ERISA Group has incurred, or reasonably expects to incur, any liability (and no event has occurred which, with the giving of notice under Section 4219 of ERISA, would result in such liability) under Section 4201 of ERISA, with respect to a Multiemployer Plan; (E) neither Borrower nor any member of the ERISA Group has received notice that a Multiemployer Plan is insolvent; (F) neither Borrower nor any member of the ERISA Group has engaged in a transaction that could be subject to Sections 4069 or 4212(c) of ERISA; and (G) no Pension Plan or Multiemployer Plan has been terminated by the plan administrator thereof nor by the PBGC, and no event or circumstance has occurred or exists that would reasonably be expected to cause the PBGC to institute proceedings under Title IV of ERISA to terminate any Pension Plan or Multiemployer Plan. </w:t>
      </w:r>
    </w:p>
    <w:p>
      <w:pPr>
        <w:pStyle w:val="TextBody"/>
        <w:bidi w:val="0"/>
        <w:spacing w:before="120" w:after="0"/>
        <w:jc w:val="left"/>
        <w:rPr>
          <w:rFonts w:ascii="Times New Roman" w:hAnsi="Times New Roman"/>
          <w:sz w:val="20"/>
        </w:rPr>
      </w:pPr>
      <w:r>
        <w:rPr>
          <w:rFonts w:ascii="Times New Roman" w:hAnsi="Times New Roman"/>
          <w:sz w:val="20"/>
        </w:rPr>
        <w:t xml:space="preserve">(dd) </w:t>
      </w:r>
      <w:r>
        <w:rPr>
          <w:rFonts w:ascii="Times New Roman" w:hAnsi="Times New Roman"/>
          <w:b/>
          <w:sz w:val="20"/>
          <w:u w:val="single"/>
        </w:rPr>
        <w:t>Financial Statements</w:t>
      </w:r>
      <w:r>
        <w:rPr>
          <w:rFonts w:ascii="Times New Roman" w:hAnsi="Times New Roman"/>
          <w:sz w:val="20"/>
        </w:rPr>
        <w:t>. The Borrower-Related Parties have delivered to the Administrative Agent copies of the Parent’s audited consolidated year-end balance sheet, statement of income or operations, shareholders’ equity and cash flows, for and as of the end of the fiscal year ended December 31, 2021. In addition, the Borrower-Related Parties have delivered to the Administrative Agent copies of the Parent’s unaudited consolidated interim balance sheet, statement of income or operations, shareholders’ equity and cash flows, for the fiscal year to date and as of the end of the fiscal quarter ended September 30, 2022 (all such annual and interim statements being collectively referred to as the “</w:t>
      </w:r>
      <w:r>
        <w:rPr>
          <w:rFonts w:ascii="Times New Roman" w:hAnsi="Times New Roman"/>
          <w:sz w:val="20"/>
          <w:u w:val="single"/>
        </w:rPr>
        <w:t>Statements</w:t>
      </w:r>
      <w:r>
        <w:rPr>
          <w:rFonts w:ascii="Times New Roman" w:hAnsi="Times New Roman"/>
          <w:sz w:val="20"/>
        </w:rPr>
        <w:t xml:space="preserve">”). The Statements (A) were compiled from the books and records maintained by the Parent’s management, (B) are correct and complete, (C) and fairly represent the consolidated financial condition of the Parent and its Subsidiaries as of the respective dates thereof and the results of operations for the fiscal periods then ended in accordance with GAAP consistently applied throughout the period covered thereby, subject (in the case of the interim statements) to normal year-end audit adjustments utilized on a consistent basis, and (D) have been prepared in accordance with GAAP consistently applied throughout the period covered thereby, subject (in the case of the interim statements) to normal year-end audit adjustments utilized on a consistent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(ee) </w:t>
      </w:r>
      <w:r>
        <w:rPr>
          <w:rFonts w:ascii="Times New Roman" w:hAnsi="Times New Roman"/>
          <w:b/>
          <w:sz w:val="20"/>
          <w:u w:val="single"/>
        </w:rPr>
        <w:t>Qualified Securitization Financing</w:t>
      </w:r>
      <w:r>
        <w:rPr>
          <w:rFonts w:ascii="Times New Roman" w:hAnsi="Times New Roman"/>
          <w:sz w:val="20"/>
        </w:rPr>
        <w:t xml:space="preserve">. The facility established by this Agreement and the other Transaction Documents constitutes a “Qualified Securitization Financing” under and as defined in each of the Credit Agreement and the Bond Agreements, in each case as in effect on the relevant date of determination, and such facility is permitted by the Credit Agreement and the Bond Agreements.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b/>
          <w:sz w:val="20"/>
          <w:u w:val="single"/>
        </w:rPr>
        <w:t>Representations and Warranties of the Servicers</w:t>
      </w:r>
      <w:r>
        <w:rPr>
          <w:rFonts w:ascii="Times New Roman" w:hAnsi="Times New Roman"/>
          <w:sz w:val="20"/>
        </w:rPr>
        <w:t>. Each Servicer represents and warrants to each Credit Party as of the Closing Date</w:t>
      </w:r>
      <w:r>
        <w:rPr>
          <w:rFonts w:ascii="Times New Roman" w:hAnsi="Times New Roman"/>
          <w:color w:val="0000FF"/>
          <w:sz w:val="20"/>
          <w:u w:val="single"/>
          <w:bdr w:val="double" w:sz="2" w:space="1" w:color="000000"/>
        </w:rPr>
        <w:t xml:space="preserve"> (or such later date on which it became a party to this Agreement)</w:t>
      </w:r>
      <w:r>
        <w:rPr>
          <w:rFonts w:ascii="Times New Roman" w:hAnsi="Times New Roman"/>
          <w:sz w:val="20"/>
        </w:rPr>
        <w:t xml:space="preserve">, on each Settlement Date on each day that a Credit Extension or a Release shall have occurred: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u w:val="single"/>
        </w:rPr>
        <w:t>Organization and Good Standing</w:t>
      </w:r>
      <w:r>
        <w:rPr>
          <w:rFonts w:ascii="Times New Roman" w:hAnsi="Times New Roman"/>
          <w:sz w:val="20"/>
        </w:rPr>
        <w:t>. In the case of the U.S. Servicer, it is a duly organized and validly existing corporation in good standing under the laws of the State of Delaware, with the power and authority under its organizational documents and under the laws of Delaware to own its properties and to conduct its business as such properties are currently owned and such business is presently conducted. In the case of the UK Servicer, it is a duly organized and validly existing private limited company in good standing under the laws of England and Wales, with the power and authority under its organizational documents and under the laws of England and Wales to own its properties and to conduct its business as such properties are currently owned and such business is presently conducted.</w:t>
      </w:r>
      <w:r>
        <w:rPr>
          <w:rFonts w:ascii="Times New Roman" w:hAnsi="Times New Roman"/>
          <w:color w:val="0000FF"/>
          <w:sz w:val="20"/>
          <w:u w:val="single"/>
          <w:bdr w:val="double" w:sz="2" w:space="1" w:color="000000"/>
        </w:rPr>
        <w:t xml:space="preserve"> In the case of the SG Servicer, it is a duly incorporated and validly existing private limited company under the laws of Singapore, with full capacity, power and authority under its constitutional documents and under the laws of Singapore to own its assets and to conduct its business as such assets are currently owned and such business is presently conducted.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u w:val="single"/>
        </w:rPr>
        <w:t>Due Qualification</w:t>
      </w:r>
      <w:r>
        <w:rPr>
          <w:rFonts w:ascii="Times New Roman" w:hAnsi="Times New Roman"/>
          <w:sz w:val="20"/>
        </w:rPr>
        <w:t xml:space="preserve">. Such Servicer is duly qualified to do business, is in good standing as a foreign entity (solely in the case of the U.S. Servicer) and has obtained all necessary licenses and approvals in all jurisdictions in which the conduct of its business or the servicing of the Pool Receivables as required by this Agreement requires such qualification, licenses or approvals, except where the failure to do so could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u w:val="single"/>
        </w:rPr>
        <w:t>Power and Authority; Due Authorization</w:t>
      </w:r>
      <w:r>
        <w:rPr>
          <w:rFonts w:ascii="Times New Roman" w:hAnsi="Times New Roman"/>
          <w:sz w:val="20"/>
        </w:rPr>
        <w:t xml:space="preserve">. Each Servicer has all necessary power and authority to (i) execute and deliver this Agreement and the other Transaction Documents to which it is a party and (ii) perform its obligations under this Agreement and the other Transaction Documents to which it is a party and the execution, delivery and performance of, and the consummation of the transactions provided for in, this Agreement and the other Transaction Documents to which it is a party have been duly authorized by each Servicer by all necessary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b/>
          <w:sz w:val="20"/>
          <w:u w:val="single"/>
        </w:rPr>
        <w:t>Binding Obligations</w:t>
      </w:r>
      <w:r>
        <w:rPr>
          <w:rFonts w:ascii="Times New Roman" w:hAnsi="Times New Roman"/>
          <w:sz w:val="20"/>
        </w:rPr>
        <w:t xml:space="preserve">. This Agreement and each of the other Transaction Documents to which it is a party has been duly authorized, validly executed and delivered by each Servicer and constitutes the legal, valid and binding obligations of each Servicer, enforceable against each Servicer in accordance with their respective terms, except (i) as such enforceability may be limited by applicable bankruptcy, insolvency, reorganization, moratorium or other similar laws affecting the enforcement of creditors’ rights generally and (ii) as such enforceability may be limited by general principles of equity, regardless of whether such enforceability is considered in a proceeding in equity or at law.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b/>
          <w:sz w:val="20"/>
          <w:u w:val="single"/>
        </w:rPr>
        <w:t>No Conflict or Violation</w:t>
      </w:r>
      <w:r>
        <w:rPr>
          <w:rFonts w:ascii="Times New Roman" w:hAnsi="Times New Roman"/>
          <w:sz w:val="20"/>
        </w:rPr>
        <w:t xml:space="preserve">. The execution and delivery of this Agreement and each other Transaction Document to which each Servicer is a party, the performance of the transactions contemplated by this Agreement and the other Transaction Documents and the fulfillment of the terms of this Agreement and the other Transaction Documents by each Servicer will not (i) conflict with, result in any breach of any of the terms or provisions of, or constitute (with or without notice or lapse of time or both) a default under, the organizational documents of each Servicer or any indenture, sale agreement, credit agreement (including the Credit Agreement), loan agreement, security agreement, mortgage, deed of trust or other agreement or instrument to which each Servicer is a party or by which it or any of its property is bound, (ii) result in the creation or imposition of any Adverse Claim upon any of its properties pursuant to the terms of any such indenture, credit agreement, loan agreement, security agreement, mortgage, deed of trust or other agreement or instrument, other than this Agreement and the other Transaction Documents or (iii) conflict with or violate any applicable Law, except to the extent that any such conflict, breach, default, Adverse Claim or violation could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b/>
          <w:sz w:val="20"/>
          <w:u w:val="single"/>
        </w:rPr>
        <w:t>Litigation and Other Proceedings</w:t>
      </w:r>
      <w:r>
        <w:rPr>
          <w:rFonts w:ascii="Times New Roman" w:hAnsi="Times New Roman"/>
          <w:sz w:val="20"/>
        </w:rPr>
        <w:t xml:space="preserve">. There is no action, suit, proceeding or investigation pending, or to each Servicer’s knowledge threatened, against each Servicer before any Official Body: (i) asserting the invalidity of this Agreement or any of the other Transaction Documents; (ii) seeking to prevent the consummation of any of the transactions contemplated by this Agreement or any other Transaction Document; or (iii) seeking any determination or ruling that would reasonably be expected to materially and adversely affect the performance by each Servicer of its obligations under, or the validity or enforceability of, this Agreement or any of the other Transaction Documents.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b/>
          <w:sz w:val="20"/>
          <w:u w:val="single"/>
        </w:rPr>
        <w:t>No Consents</w:t>
      </w:r>
      <w:r>
        <w:rPr>
          <w:rFonts w:ascii="Times New Roman" w:hAnsi="Times New Roman"/>
          <w:sz w:val="20"/>
        </w:rPr>
        <w:t xml:space="preserve">. The Servicers are not required to obtain the consent of any other party or any consent, license, approval, registration, authorization or declaration of or with any Official Body in connection with the execution, delivery, or performance of this Agreement or any other Transaction Document to which it is a party that has not already been obtained, except where the failure to obtain such consent, license, approval, registration, authorization or declaration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b/>
          <w:sz w:val="20"/>
          <w:u w:val="single"/>
        </w:rPr>
        <w:t>Compliance with Law</w:t>
      </w:r>
      <w:r>
        <w:rPr>
          <w:rFonts w:ascii="Times New Roman" w:hAnsi="Times New Roman"/>
          <w:sz w:val="20"/>
        </w:rPr>
        <w:t xml:space="preserve">. Each Servicer (i) shall duly satisfy all obligations on its part under applicable law to be fulfilled under or in connection with the Pool Receivables, (ii) has maintained in effect all qualifications required under applicable Law in order to properly service the Pool Receivables and (iii) has complied in all material respects with all applicable Laws in connection with servicing the Pool Receivables.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b/>
          <w:sz w:val="20"/>
          <w:u w:val="single"/>
        </w:rPr>
        <w:t>Accuracy of Information</w:t>
      </w:r>
      <w:r>
        <w:rPr>
          <w:rFonts w:ascii="Times New Roman" w:hAnsi="Times New Roman"/>
          <w:sz w:val="20"/>
        </w:rPr>
        <w:t xml:space="preserve">. All Pool Reports, Loan Requests, certificates, reports, statements, documents and other written information furnished to the Administrative Agent or any other Credit Party by each Servicer pursuant to any provision of this Agreement or any other Transaction Document, or in connection with or pursuant to any amendment or modification of, or waiver under, this Agreement or any other Transaction Document, are, at the time the same are so furnished, complete and correct in all material respects on the date the same are furnished to the Administrative Agent or such other Credit Party, and do not contain any material misstatement of fact or omit to state a material fact or any fact necessary to make the statements contained therein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b/>
          <w:sz w:val="20"/>
          <w:u w:val="single"/>
        </w:rPr>
        <w:t>Location of Records</w:t>
      </w:r>
      <w:r>
        <w:rPr>
          <w:rFonts w:ascii="Times New Roman" w:hAnsi="Times New Roman"/>
          <w:sz w:val="20"/>
        </w:rPr>
        <w:t xml:space="preserve">. The offices where </w:t>
      </w:r>
      <w:r>
        <w:rPr>
          <w:rFonts w:ascii="Times New Roman" w:hAnsi="Times New Roman"/>
          <w:strike/>
          <w:color w:val="FF0000"/>
          <w:sz w:val="20"/>
        </w:rPr>
        <w:t>each</w:t>
      </w:r>
      <w:r>
        <w:rPr>
          <w:rFonts w:ascii="Times New Roman" w:hAnsi="Times New Roman"/>
          <w:color w:val="0000FF"/>
          <w:sz w:val="20"/>
          <w:u w:val="single"/>
          <w:bdr w:val="double" w:sz="2" w:space="1" w:color="000000"/>
        </w:rPr>
        <w:t>the (i) U.S. Servicer and UK</w:t>
      </w:r>
      <w:r>
        <w:rPr>
          <w:rFonts w:ascii="Times New Roman" w:hAnsi="Times New Roman"/>
          <w:sz w:val="20"/>
        </w:rPr>
        <w:t xml:space="preserve"> Servicer keeps all of its records relating to the servicing of the Pool Receivables are located at 3150 Sabre Drive, Southlake, TX 76092</w:t>
      </w:r>
      <w:r>
        <w:rPr>
          <w:rFonts w:ascii="Times New Roman" w:hAnsi="Times New Roman"/>
          <w:color w:val="0000FF"/>
          <w:sz w:val="20"/>
          <w:u w:val="single"/>
          <w:bdr w:val="double" w:sz="2" w:space="1" w:color="000000"/>
        </w:rPr>
        <w:t xml:space="preserve"> and (ii) SG Servicer keeps all of its records relating to the servicing of the Pool Receivables are located at USA1 Paya Lebar Link, #05-05 Paya Lebar Quarter, Singapore 408533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b/>
          <w:sz w:val="20"/>
          <w:u w:val="single"/>
        </w:rPr>
        <w:t>Credit and Collection Policy</w:t>
      </w:r>
      <w:r>
        <w:rPr>
          <w:rFonts w:ascii="Times New Roman" w:hAnsi="Times New Roman"/>
          <w:sz w:val="20"/>
        </w:rPr>
        <w:t xml:space="preserve">. Each Servicer has complied in all material respects with the Credit and Collection Policy with regard to each Pool Receivable and the related Contracts.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b/>
          <w:sz w:val="20"/>
          <w:u w:val="single"/>
        </w:rPr>
        <w:t>Eligible Receivables</w:t>
      </w:r>
      <w:r>
        <w:rPr>
          <w:rFonts w:ascii="Times New Roman" w:hAnsi="Times New Roman"/>
          <w:sz w:val="20"/>
        </w:rPr>
        <w:t xml:space="preserve">. Each Receivable included as an Eligible Receivable in the calculation of the Net Receivables Pool Balance as of any date is an Eligible Receivable as of such date.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b/>
          <w:sz w:val="20"/>
          <w:u w:val="single"/>
        </w:rPr>
        <w:t>Servicing Programs</w:t>
      </w:r>
      <w:r>
        <w:rPr>
          <w:rFonts w:ascii="Times New Roman" w:hAnsi="Times New Roman"/>
          <w:sz w:val="20"/>
        </w:rPr>
        <w:t xml:space="preserve">. No license or approval is required for the Administrative Agent’s use of any software or other computer program used by each Servicer, any Originator or any Sub-Servicer in the servicing of the Pool Receivables, other than those which have been obtained and are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b/>
          <w:sz w:val="20"/>
          <w:u w:val="single"/>
        </w:rPr>
        <w:t>No Material Adverse Effect</w:t>
      </w:r>
      <w:r>
        <w:rPr>
          <w:rFonts w:ascii="Times New Roman" w:hAnsi="Times New Roman"/>
          <w:sz w:val="20"/>
        </w:rPr>
        <w:t xml:space="preserve">. Since December 31, 2021 there has been no Material Adverse Effect on any Servicer.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b/>
          <w:sz w:val="20"/>
          <w:u w:val="single"/>
        </w:rPr>
        <w:t>Investment Company Act</w:t>
      </w:r>
      <w:r>
        <w:rPr>
          <w:rFonts w:ascii="Times New Roman" w:hAnsi="Times New Roman"/>
          <w:sz w:val="20"/>
        </w:rPr>
        <w:t xml:space="preserve">. No Servicer is an “investment company,” or a company “controlled” by an “investment company,” within the meaning of the Investment Company Act.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b/>
          <w:sz w:val="20"/>
          <w:u w:val="single"/>
        </w:rPr>
        <w:t>Sanctions and other Anti-Terrorism Laws</w:t>
      </w:r>
      <w:r>
        <w:rPr>
          <w:rFonts w:ascii="Times New Roman" w:hAnsi="Times New Roman"/>
          <w:sz w:val="20"/>
        </w:rPr>
        <w:t xml:space="preserve">. No: (a) Covered Entity, nor, to its knowledge, any officers, or directors thereof: (i) is a Sanctioned Person; or (ii) directly, or indirectly through any third party, is engaged in any transactions or other dealings with or for the benefit of any Sanctioned Person or Sanctioned Jurisdiction, or any transactions or other dealing, in each case, in violation of Sanctions or Anti-Terrorism Laws; and (b) Collateral is Blocked Property.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b/>
          <w:sz w:val="20"/>
          <w:u w:val="single"/>
        </w:rPr>
        <w:t>Anti-Corruption Laws</w:t>
      </w:r>
      <w:r>
        <w:rPr>
          <w:rFonts w:ascii="Times New Roman" w:hAnsi="Times New Roman"/>
          <w:sz w:val="20"/>
        </w:rPr>
        <w:t xml:space="preserve">. Each Covered Entity has (a) conducted its business in compliance with all Anti-Corruption Laws and (b) has instituted and maintains policies and procedures reasonably designed to promote compliance with such Laws. </w:t>
      </w:r>
    </w:p>
    <w:p>
      <w:pPr>
        <w:pStyle w:val="TextBody"/>
        <w:bidi w:val="0"/>
        <w:spacing w:before="120" w:after="0"/>
        <w:jc w:val="left"/>
        <w:rPr>
          <w:rFonts w:ascii="Times New Roman" w:hAnsi="Times New Roman"/>
          <w:sz w:val="20"/>
        </w:rPr>
      </w:pPr>
      <w:r>
        <w:rPr>
          <w:rFonts w:ascii="Times New Roman" w:hAnsi="Times New Roman"/>
          <w:sz w:val="20"/>
        </w:rPr>
        <w:t xml:space="preserve">(r) </w:t>
      </w:r>
      <w:r>
        <w:rPr>
          <w:rFonts w:ascii="Times New Roman" w:hAnsi="Times New Roman"/>
          <w:b/>
          <w:sz w:val="20"/>
          <w:u w:val="single"/>
        </w:rPr>
        <w:t>Bulk Sales Act</w:t>
      </w:r>
      <w:r>
        <w:rPr>
          <w:rFonts w:ascii="Times New Roman" w:hAnsi="Times New Roman"/>
          <w:sz w:val="20"/>
        </w:rPr>
        <w:t xml:space="preserve">. No transaction contemplated by this Agreement requires compliance by it with any bulk sales act or similar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 </w:t>
      </w:r>
      <w:r>
        <w:rPr>
          <w:rFonts w:ascii="Times New Roman" w:hAnsi="Times New Roman"/>
          <w:b/>
          <w:sz w:val="20"/>
          <w:u w:val="single"/>
        </w:rPr>
        <w:t>Taxes</w:t>
      </w:r>
      <w:r>
        <w:rPr>
          <w:rFonts w:ascii="Times New Roman" w:hAnsi="Times New Roman"/>
          <w:sz w:val="20"/>
        </w:rPr>
        <w:t xml:space="preserve">. Each Servicer has (i) filed or caused to be filed all federal and material state and local tax returns </w:t>
      </w:r>
      <w:r>
        <w:rPr>
          <w:rFonts w:ascii="Times New Roman" w:hAnsi="Times New Roman"/>
          <w:color w:val="0000FF"/>
          <w:sz w:val="20"/>
          <w:u w:val="single"/>
          <w:bdr w:val="double" w:sz="2" w:space="1" w:color="000000"/>
        </w:rPr>
        <w:t xml:space="preserve">(or the equivalent in Singapore) </w:t>
      </w:r>
      <w:r>
        <w:rPr>
          <w:rFonts w:ascii="Times New Roman" w:hAnsi="Times New Roman"/>
          <w:sz w:val="20"/>
        </w:rPr>
        <w:t xml:space="preserve">required to be filed by it to date </w:t>
      </w:r>
      <w:r>
        <w:rPr>
          <w:rFonts w:ascii="Times New Roman" w:hAnsi="Times New Roman"/>
          <w:strike/>
          <w:color w:val="FF0000"/>
          <w:sz w:val="20"/>
        </w:rPr>
        <w:t>(except for the UK Servicer’s corporation tax return for the year to December 31, 2021 (The “</w:t>
      </w:r>
      <w:r>
        <w:rPr>
          <w:rFonts w:ascii="Times New Roman" w:hAnsi="Times New Roman"/>
          <w:strike/>
          <w:color w:val="FF0000"/>
          <w:sz w:val="20"/>
          <w:u w:val="single"/>
        </w:rPr>
        <w:t>Outstanding UK Tax Return</w:t>
      </w:r>
      <w:r>
        <w:rPr>
          <w:rFonts w:ascii="Times New Roman" w:hAnsi="Times New Roman"/>
          <w:strike/>
          <w:color w:val="FF0000"/>
          <w:sz w:val="20"/>
        </w:rPr>
        <w:t xml:space="preserve">”), which remains outstanding as of the date of this Agreement (as disclosed to the Lenders and the Borrower prior to the date of this Agreement)) </w:t>
      </w:r>
      <w:r>
        <w:rPr>
          <w:rFonts w:ascii="Times New Roman" w:hAnsi="Times New Roman"/>
          <w:sz w:val="20"/>
        </w:rPr>
        <w:t xml:space="preserve">and (ii) paid, or caused to be paid, all taxes, assessments and other governmental charges, if any, other than taxes, assessments and other governmental charges being contested in good faith by appropriate proceedings, as to which adequate reserves have been provided in accordance with GAAP or to the extent the failure to do so would not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(t) </w:t>
      </w:r>
      <w:r>
        <w:rPr>
          <w:rFonts w:ascii="Times New Roman" w:hAnsi="Times New Roman"/>
          <w:b/>
          <w:sz w:val="20"/>
          <w:u w:val="single"/>
        </w:rPr>
        <w:t>No Linked Accounts</w:t>
      </w:r>
      <w:r>
        <w:rPr>
          <w:rFonts w:ascii="Times New Roman" w:hAnsi="Times New Roman"/>
          <w:sz w:val="20"/>
        </w:rPr>
        <w:t xml:space="preserve">. Except for any Permitted Linked Account, there are no Linked Accounts with respect to any Collection Account. </w:t>
      </w:r>
    </w:p>
    <w:p>
      <w:pPr>
        <w:pStyle w:val="TextBody"/>
        <w:bidi w:val="0"/>
        <w:spacing w:before="120" w:after="0"/>
        <w:jc w:val="left"/>
        <w:rPr>
          <w:rFonts w:ascii="Times New Roman" w:hAnsi="Times New Roman"/>
          <w:sz w:val="20"/>
        </w:rPr>
      </w:pPr>
      <w:r>
        <w:rPr>
          <w:rFonts w:ascii="Times New Roman" w:hAnsi="Times New Roman"/>
          <w:sz w:val="20"/>
        </w:rPr>
        <w:t xml:space="preserve">(u) </w:t>
      </w:r>
      <w:r>
        <w:rPr>
          <w:rFonts w:ascii="Times New Roman" w:hAnsi="Times New Roman"/>
          <w:b/>
          <w:sz w:val="20"/>
          <w:u w:val="single"/>
        </w:rPr>
        <w:t>Opinions</w:t>
      </w:r>
      <w:r>
        <w:rPr>
          <w:rFonts w:ascii="Times New Roman" w:hAnsi="Times New Roman"/>
          <w:sz w:val="20"/>
        </w:rPr>
        <w:t xml:space="preserve">. The facts regarding the Borrower, each Servicer, each Originator, the Performance Guarantor, the Receivables, the Related Security and the related matters set forth or assumed in each of the opinions of counsel delivered in connection with this Agreement and the Transaction Documents relating to “true sale” and “substantive consolidation” matters are true and correct in all material respects.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b/>
          <w:sz w:val="20"/>
          <w:u w:val="single"/>
        </w:rPr>
        <w:t>ERISA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Plan is in compliance in all material respects with the applicable provisions of ERISA, the Code and other federal or state Laws. Each Plan that is intended to qualify under Section 401(a) of the Code has received from the IRS a favorable determination or opinion letter, which has not by its terms expired, that such Plan is so qualified, or such Plan is entitled to rely on an IRS advisory or opinion letter with respect to an IRS-approved master and prototype or volume submitter plan, or a timely application for such a determination or opinion letter is currently being processed by the IRS with respect thereto; and, to the best knowledge of Borrower, nothing has occurred which would prevent, or cause the loss of, such qualification. Borrower and each member of the ERISA Group have made all required contributions to each Pension Plan subject to Sections 412 or 430 of the Code, and no application for a funding waiver or an extension of any amortization period pursuant to Sections 412 or 430 of the Code has been made with respect to any Pension Plan. </w:t>
      </w:r>
    </w:p>
    <w:p>
      <w:pPr>
        <w:pStyle w:val="TextBody"/>
        <w:bidi w:val="0"/>
        <w:spacing w:before="120" w:after="0"/>
        <w:jc w:val="left"/>
        <w:rPr>
          <w:rFonts w:ascii="Times New Roman" w:hAnsi="Times New Roman"/>
          <w:sz w:val="20"/>
        </w:rPr>
      </w:pPr>
      <w:r>
        <w:rPr>
          <w:rFonts w:ascii="Times New Roman" w:hAnsi="Times New Roman"/>
          <w:sz w:val="20"/>
        </w:rPr>
        <w:t xml:space="preserve">(ii) (A) No ERISA Event has occurred or is reasonably expected to occur; (B) no Pension Plan has any unfunded pension liability (i.e., excess of benefit liabilities over the current value of that Pension Plan’s assets, determined pursuant to the assumptions used for funding the Pension Plan for the applicable plan year in accordance with Section 430 of the Code); (C) neither Borrower nor any member of the ERISA Group has incurred, or reasonably expects to incur, any liability under Title IV of ERISA with respect to any Pension Plan (other than premiums due and not delinquent under Section 4007 of ERISA); (D) neither Borrower nor any member of the ERISA Group has incurred, or reasonably expects to incur, any liability (and no event has occurred which, with the giving of notice under Section 4219 of ERISA, would result in such liability) under Section 4201 of ERISA, with respect to a Multiemployer Plan; (E) neither Borrower nor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member of the ERISA Group has received notice that a Multiemployer Plan is insolvent; (F) neither Borrower nor any member of the ERISA Group has engaged in a transaction that could be subject to Sections 4069 or 4212(c) of ERISA; and (G) no Pension Plan or Multiemployer Plan has been terminated by the plan administrator thereof nor by the PBGC, and no event or circumstance has occurred or exists that would reasonably be expected to cause the PBGC to institute proceedings under Title IV of ERISA to terminate any Pension Plan or Multiemployer Plan. </w:t>
      </w:r>
    </w:p>
    <w:p>
      <w:pPr>
        <w:pStyle w:val="TextBody"/>
        <w:bidi w:val="0"/>
        <w:spacing w:before="120" w:after="0"/>
        <w:jc w:val="left"/>
        <w:rPr>
          <w:rFonts w:ascii="Times New Roman" w:hAnsi="Times New Roman"/>
          <w:sz w:val="20"/>
        </w:rPr>
      </w:pPr>
      <w:r>
        <w:rPr>
          <w:rFonts w:ascii="Times New Roman" w:hAnsi="Times New Roman"/>
          <w:sz w:val="20"/>
        </w:rPr>
        <w:t xml:space="preserve">(w) </w:t>
      </w:r>
      <w:r>
        <w:rPr>
          <w:rFonts w:ascii="Times New Roman" w:hAnsi="Times New Roman"/>
          <w:b/>
          <w:sz w:val="20"/>
          <w:u w:val="single"/>
        </w:rPr>
        <w:t>Financial Statements</w:t>
      </w:r>
      <w:r>
        <w:rPr>
          <w:rFonts w:ascii="Times New Roman" w:hAnsi="Times New Roman"/>
          <w:sz w:val="20"/>
        </w:rPr>
        <w:t xml:space="preserve">. The Borrower-Related Parties have delivered to the Administrative Agent copies of the Parent’s Statements. The Statements (A) were compiled from the books and records maintained by the Parent’s management, (B) are correct and complete, (C) and fairly represent the consolidated financial condition of the Parent and its Subsidiaries as of the respective dates thereof and the results of operations for the fiscal periods then ended in accordance with GAAP consistently applied throughout the period covered thereby, subject (in the case of the interim statements) to normal year-end audit adjustments utilized on a consistent basis, and (D) have been prepared in accordance with GAAP consistently applied throughout the period covered thereby, subject (in the case of the interim statements) to normal year-end audit adjustments utilized on a consistent basis. </w:t>
      </w:r>
    </w:p>
    <w:p>
      <w:pPr>
        <w:pStyle w:val="TextBody"/>
        <w:bidi w:val="0"/>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b/>
          <w:sz w:val="20"/>
          <w:u w:val="single"/>
        </w:rPr>
        <w:t>Qualified Securitization Financing</w:t>
      </w:r>
      <w:r>
        <w:rPr>
          <w:rFonts w:ascii="Times New Roman" w:hAnsi="Times New Roman"/>
          <w:sz w:val="20"/>
        </w:rPr>
        <w:t xml:space="preserve">. The facility established by this Agreement and the other Transaction Documents constitutes a “Qualified Securitization Financing” under and as defined in the Credit Agreement and the Bond Agreements, in each case as in effect on the relevant date of determination, and such facility is permitted by the Credit Agreement and the Bond Agreements. </w:t>
      </w:r>
    </w:p>
    <w:p>
      <w:pPr>
        <w:pStyle w:val="TextBody"/>
        <w:bidi w:val="0"/>
        <w:spacing w:before="120" w:after="0"/>
        <w:jc w:val="left"/>
        <w:rPr>
          <w:rFonts w:ascii="Times New Roman" w:hAnsi="Times New Roman"/>
          <w:sz w:val="20"/>
        </w:rPr>
      </w:pPr>
      <w:r>
        <w:rPr>
          <w:rFonts w:ascii="Times New Roman" w:hAnsi="Times New Roman"/>
          <w:sz w:val="20"/>
        </w:rPr>
        <w:t xml:space="preserve">(y) </w:t>
      </w:r>
      <w:r>
        <w:rPr>
          <w:rFonts w:ascii="Times New Roman" w:hAnsi="Times New Roman"/>
          <w:b/>
          <w:sz w:val="20"/>
          <w:u w:val="single"/>
        </w:rPr>
        <w:t>VAT</w:t>
      </w:r>
      <w:r>
        <w:rPr>
          <w:rFonts w:ascii="Times New Roman" w:hAnsi="Times New Roman"/>
          <w:sz w:val="20"/>
        </w:rPr>
        <w:t xml:space="preserve">. No Servicer, in its capacity as Servicer, is required to account to any Governmental Authority for any VAT or similar Tax or any sales Tax in respect of the transactions contemplated hereunder and no withholding or other Tax (including VAT or any equivalent Tax) is deductible or payable from any payment made by any Servicer hereunder other than, if applicable under law, on any interest payments made by the Servicer under Sections 2.03(f)(ii) and 3.02(b).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24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b/>
          <w:sz w:val="20"/>
          <w:u w:val="single"/>
        </w:rPr>
        <w:t>Covenants of the Borrower</w:t>
      </w:r>
      <w:r>
        <w:rPr>
          <w:rFonts w:ascii="Times New Roman" w:hAnsi="Times New Roman"/>
          <w:sz w:val="20"/>
        </w:rPr>
        <w:t xml:space="preserve">. At all times from the Closing Date until the Final Payout Date: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u w:val="single"/>
        </w:rPr>
        <w:t>Payment of Principal and Interest</w:t>
      </w:r>
      <w:r>
        <w:rPr>
          <w:rFonts w:ascii="Times New Roman" w:hAnsi="Times New Roman"/>
          <w:sz w:val="20"/>
        </w:rPr>
        <w:t xml:space="preserve">. The Borrower shall duly and punctually pay Principal, Interest, Fees and all other amounts payable by the Borrower hereunder in accordance with the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u w:val="single"/>
        </w:rPr>
        <w:t>Existence</w:t>
      </w:r>
      <w:r>
        <w:rPr>
          <w:rFonts w:ascii="Times New Roman" w:hAnsi="Times New Roman"/>
          <w:sz w:val="20"/>
        </w:rPr>
        <w:t xml:space="preserve">. The Borrower shall keep in full force and effect its existence and rights as a limited liability company under the laws of the State of Delaware, and shall obtain and preserve its qualification to do business in each jurisdiction in which such qualification is or shall be necessary to protect the validity and enforceability of this Agreement, the other Transaction Documents and the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b/>
          <w:sz w:val="20"/>
          <w:u w:val="single"/>
        </w:rPr>
        <w:t>Financial Reporting</w:t>
      </w:r>
      <w:r>
        <w:rPr>
          <w:rFonts w:ascii="Times New Roman" w:hAnsi="Times New Roman"/>
          <w:sz w:val="20"/>
        </w:rPr>
        <w:t xml:space="preserve">. The Borrower will maintain a system of accounting established and administered in accordance with GAAP, and the Borrower (or each Servicer on its behalf) shall furnish to the Administrative Agent and each Lender: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b/>
          <w:sz w:val="20"/>
          <w:u w:val="single"/>
        </w:rPr>
        <w:t>Annual Financial Statements of the Borrower</w:t>
      </w:r>
      <w:r>
        <w:rPr>
          <w:rFonts w:ascii="Times New Roman" w:hAnsi="Times New Roman"/>
          <w:i/>
          <w:sz w:val="20"/>
        </w:rPr>
        <w:t xml:space="preserve">. </w:t>
      </w:r>
      <w:r>
        <w:rPr>
          <w:rFonts w:ascii="Times New Roman" w:hAnsi="Times New Roman"/>
          <w:sz w:val="20"/>
        </w:rPr>
        <w:t xml:space="preserve">Promptly upon completion and in no event later than ninety (90) days after the end of each fiscal year of the Borrower, annual unaudited financial statements of the Borrower certified by an Authorized Officer of the Borrower that they fairly present in all material respects, in accordance with GAAP, the financial condition of the Borrower as of the date indicated and the results of its operations for the periods indicated.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b/>
          <w:sz w:val="20"/>
          <w:u w:val="single"/>
        </w:rPr>
        <w:t>Pool Reports</w:t>
      </w:r>
      <w:r>
        <w:rPr>
          <w:rFonts w:ascii="Times New Roman" w:hAnsi="Times New Roman"/>
          <w:sz w:val="20"/>
        </w:rPr>
        <w:t xml:space="preserve">. (A) not later than two Business Days before the related Monthly Settlement Date, a Monthly Report </w:t>
      </w:r>
      <w:r>
        <w:rPr>
          <w:rFonts w:ascii="Times New Roman" w:hAnsi="Times New Roman"/>
          <w:strike/>
          <w:color w:val="FF0000"/>
          <w:sz w:val="20"/>
        </w:rPr>
        <w:t xml:space="preserve">as of the </w:t>
      </w:r>
      <w:r>
        <w:rPr>
          <w:rFonts w:ascii="Times New Roman" w:hAnsi="Times New Roman"/>
          <w:sz w:val="20"/>
        </w:rPr>
        <w:t xml:space="preserve">as of the most recently completed Fiscal Month, (B) not later than each Weekly Reporting Date, a Weekly Report as of the last Business Day of the preceding calendar week; provided, that, if all Class A Commitments have terminated and all Borrower Obligations owing to the Class A Lenders have been paid in full, then beginning on the date on which financial statements were delivered (or required to be delivered) for the Parent (or any of its Subsidiaries) and the Total Net Leverage Ratio for the most recently completed Test Period did not exceed 4.00:100, the Borrower shall not be required to deliver any Weekly Report, and (C) on each Daily Reporting Date, a Daily Report as of the close of business on the preceding Business Day.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b/>
          <w:sz w:val="20"/>
          <w:u w:val="single"/>
        </w:rPr>
        <w:t>Quarterly Financial Statements of Parent</w:t>
      </w:r>
      <w:r>
        <w:rPr>
          <w:rFonts w:ascii="Times New Roman" w:hAnsi="Times New Roman"/>
          <w:sz w:val="20"/>
        </w:rPr>
        <w:t xml:space="preserve">. Within forty-five (45) days after the end of each of the first three (3) fiscal quarters of each fiscal year of Parent, a consolidated balance sheet of Parent and its Subsidiaries as at the end of such fiscal quarter, and the related (i) consolidated statements of income or operations for such fiscal quarter and for the portion of the fiscal year then ended and (ii) consolidated statements of cash flows for the portion of the fiscal year then ended, setting forth in each case in comparative form the figures for the corresponding fiscal quarter of the previous fiscal year and the corresponding portion of the previous fiscal year, all in reasonable detail and certified by a Responsible Officer of Parent as fairly presenting in all material respects the financial condition, results of operations, stockholders’ equity and cash flows of Parent and its Subsidiaries in accordance with GAAP applicable to unaudited interim financial statements, subject only to changes resulting from audit, normal year-end adjustments and the absence of footnotes.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b/>
          <w:sz w:val="20"/>
          <w:u w:val="single"/>
        </w:rPr>
        <w:t>Annual Financial Statements of Parent</w:t>
      </w:r>
      <w:r>
        <w:rPr>
          <w:rFonts w:ascii="Times New Roman" w:hAnsi="Times New Roman"/>
          <w:sz w:val="20"/>
        </w:rPr>
        <w:t xml:space="preserve">. Within ninety (90) days after the end of each fiscal year of Parent, a consolidated balance sheet of Parent and its Subsidiaries as at the end of such fiscal year, and the related consolidated statements of income or operations, stockholders’ equity and cash flows for such fiscal year, setting forth in each case in comparative form the figures for the previous fiscal year, all in reasonable detail and prepared in accordance with GAAP, audited and accompanied by a report and opinion of Ernst &amp; Young LLP or any other independent registered public accounting firm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nationally recognized standing, which report and opinion shall be prepared in accordance with generally accepted auditing standards and shall not be subject to any going concern or like qualification or exception (other than with respect to or resulting from, (i) any potential inability to satisfy a financial covenant in a future date or period or (ii) the fact that the final maturity date of any Loan or Commitment hereunder is less than one year after the date of such opinion) or any qualification or exception as to the scope of such audit.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b/>
          <w:sz w:val="20"/>
          <w:u w:val="single"/>
        </w:rPr>
        <w:t>Projections</w:t>
      </w:r>
      <w:r>
        <w:rPr>
          <w:rFonts w:ascii="Times New Roman" w:hAnsi="Times New Roman"/>
          <w:sz w:val="20"/>
        </w:rPr>
        <w:t>. Within ninety (90) days after the end of each fiscal year of Parent, a reasonably detailed consolidated budget for the following fiscal year as customarily prepared by management of Parent for its internal use (including a projected consolidated balance sheet of Parent and its Subsidiaries as of the end of the following fiscal year, the related consolidated statements of projected cash flow and projected income and a summary of the material underlying assumptions applicable thereto) (collectively, the “</w:t>
      </w:r>
      <w:r>
        <w:rPr>
          <w:rFonts w:ascii="Times New Roman" w:hAnsi="Times New Roman"/>
          <w:sz w:val="20"/>
          <w:u w:val="single"/>
        </w:rPr>
        <w:t>Projections</w:t>
      </w:r>
      <w:r>
        <w:rPr>
          <w:rFonts w:ascii="Times New Roman" w:hAnsi="Times New Roman"/>
          <w:sz w:val="20"/>
        </w:rPr>
        <w:t xml:space="preserve">”),which Projections have been prepared in good faith on the basis of the assumptions stated therein, which assumptions were believed to be reasonable at the time of preparation of such Projections, it being understood that actual results may vary from such Projections and that such variations may be material; and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b/>
          <w:sz w:val="20"/>
          <w:u w:val="single"/>
        </w:rPr>
        <w:t>Compliance Certificate</w:t>
      </w:r>
      <w:r>
        <w:rPr>
          <w:rFonts w:ascii="Times New Roman" w:hAnsi="Times New Roman"/>
          <w:sz w:val="20"/>
        </w:rPr>
        <w:t xml:space="preserve">. Concurrently with the financial statements furnished to the Administrative Agent and to the Lenders pursuant to </w:t>
      </w:r>
      <w:r>
        <w:rPr>
          <w:rFonts w:ascii="Times New Roman" w:hAnsi="Times New Roman"/>
          <w:sz w:val="20"/>
          <w:u w:val="single"/>
        </w:rPr>
        <w:t>Sections 7.01(c)(iii)</w:t>
      </w:r>
      <w:r>
        <w:rPr>
          <w:rFonts w:ascii="Times New Roman" w:hAnsi="Times New Roman"/>
          <w:sz w:val="20"/>
        </w:rPr>
        <w:t xml:space="preserve"> and </w:t>
      </w:r>
      <w:r>
        <w:rPr>
          <w:rFonts w:ascii="Times New Roman" w:hAnsi="Times New Roman"/>
          <w:sz w:val="20"/>
          <w:u w:val="single"/>
        </w:rPr>
        <w:t>7.01(c)(iv)</w:t>
      </w:r>
      <w:r>
        <w:rPr>
          <w:rFonts w:ascii="Times New Roman" w:hAnsi="Times New Roman"/>
          <w:sz w:val="20"/>
        </w:rPr>
        <w:t>, a certificate (each, a “</w:t>
      </w:r>
      <w:r>
        <w:rPr>
          <w:rFonts w:ascii="Times New Roman" w:hAnsi="Times New Roman"/>
          <w:sz w:val="20"/>
          <w:u w:val="single"/>
        </w:rPr>
        <w:t>Compliance Certificate</w:t>
      </w:r>
      <w:r>
        <w:rPr>
          <w:rFonts w:ascii="Times New Roman" w:hAnsi="Times New Roman"/>
          <w:sz w:val="20"/>
        </w:rPr>
        <w:t xml:space="preserve">”) of the Parent signed by the Chief Executive Officer, President, Treasurer or Chief Financial Officer of the Parent, in the form of </w:t>
      </w:r>
      <w:r>
        <w:rPr>
          <w:rFonts w:ascii="Times New Roman" w:hAnsi="Times New Roman"/>
          <w:sz w:val="20"/>
          <w:u w:val="single"/>
        </w:rPr>
        <w:t>Exhibit 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b/>
          <w:sz w:val="20"/>
          <w:u w:val="single"/>
        </w:rPr>
        <w:t>SEC Filings and other Material Reports</w:t>
      </w:r>
      <w:r>
        <w:rPr>
          <w:rFonts w:ascii="Times New Roman" w:hAnsi="Times New Roman"/>
          <w:sz w:val="20"/>
        </w:rPr>
        <w:t xml:space="preserve">. Promptly upon their becoming available to the Borrower, public SEC filings and other material reports, including SEC Form 8-K, registration statements, proxies, prospectuses, financial statements and other shareholder communications, filed by the Borrower-Related Parties with the SEC (all of which may be provided by means of delivery of the applicable SEC Form or filing, and which will be deemed delivered upon (i) the posting of such information on the Parent’s website or (ii) the making of such information available on any Platform). </w:t>
      </w:r>
    </w:p>
    <w:p>
      <w:pPr>
        <w:pStyle w:val="TextBody"/>
        <w:bidi w:val="0"/>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b/>
          <w:sz w:val="20"/>
          <w:u w:val="single"/>
        </w:rPr>
        <w:t>Other Information</w:t>
      </w:r>
      <w:r>
        <w:rPr>
          <w:rFonts w:ascii="Times New Roman" w:hAnsi="Times New Roman"/>
          <w:i/>
          <w:sz w:val="20"/>
        </w:rPr>
        <w:t xml:space="preserve">. </w:t>
      </w:r>
      <w:r>
        <w:rPr>
          <w:rFonts w:ascii="Times New Roman" w:hAnsi="Times New Roman"/>
          <w:sz w:val="20"/>
        </w:rPr>
        <w:t xml:space="preserve">Such other information (including non-financial information) as the Administrative Agent or any Lender may from time to time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herein to the contrary, any financial information, proxy statements or other material required to be delivered pursuant to this </w:t>
      </w:r>
      <w:r>
        <w:rPr>
          <w:rFonts w:ascii="Times New Roman" w:hAnsi="Times New Roman"/>
          <w:sz w:val="20"/>
          <w:u w:val="single"/>
        </w:rPr>
        <w:t>paragraph (c)</w:t>
      </w:r>
      <w:r>
        <w:rPr>
          <w:rFonts w:ascii="Times New Roman" w:hAnsi="Times New Roman"/>
          <w:sz w:val="20"/>
        </w:rPr>
        <w:t xml:space="preserve"> shall be deemed to have been furnished to each of the Administrative Agent and each Lender on the date that such report, proxy statement or other material is posted on the SEC’s website at www.sec.gov.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sz w:val="20"/>
          <w:u w:val="single"/>
        </w:rPr>
        <w:t>Notices</w:t>
      </w:r>
      <w:r>
        <w:rPr>
          <w:rFonts w:ascii="Times New Roman" w:hAnsi="Times New Roman"/>
          <w:sz w:val="20"/>
        </w:rPr>
        <w:t xml:space="preserve">. The Borrower (or each Servicer on its behalf) will notify the Administrative Agent and each Lender in writing of any of the following events promptly upon (but in no event later than three (3) Business Days after, unless otherwise specified below) an Authorized Officer or other officer learning of the occurrence thereof, with such notice describing the same, and if applicable, the steps being taken by the Person(s) affected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b/>
          <w:sz w:val="20"/>
          <w:u w:val="single"/>
        </w:rPr>
        <w:t>Notice of Events of Default or Potential Defaults</w:t>
      </w:r>
      <w:r>
        <w:rPr>
          <w:rFonts w:ascii="Times New Roman" w:hAnsi="Times New Roman"/>
          <w:sz w:val="20"/>
        </w:rPr>
        <w:t xml:space="preserve">. A statement of an Authorized Officer of the Borrower setting forth details of any Event of Default, Financial Covenant Event or Potential Default that has occurred and is continuing and the action which the Borrower proposes to take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b/>
          <w:sz w:val="20"/>
          <w:u w:val="single"/>
        </w:rPr>
        <w:t>Representations and Warranties</w:t>
      </w:r>
      <w:r>
        <w:rPr>
          <w:rFonts w:ascii="Times New Roman" w:hAnsi="Times New Roman"/>
          <w:sz w:val="20"/>
        </w:rPr>
        <w:t xml:space="preserve">. The failure of any representation or warranty made or deemed to be made by the Borrower under this Agreement or any other Transaction Document to be true and correct in any material respect when made.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b/>
          <w:sz w:val="20"/>
          <w:u w:val="single"/>
        </w:rPr>
        <w:t>Litigation</w:t>
      </w:r>
      <w:r>
        <w:rPr>
          <w:rFonts w:ascii="Times New Roman" w:hAnsi="Times New Roman"/>
          <w:sz w:val="20"/>
        </w:rPr>
        <w:t xml:space="preserve">. The institution of any litigation, arbitration proceeding or governmental proceeding with respect to the Borrower, any Servicer, the Performance Guarantor or any Originator, which with respect to any Person other than the Borrower, would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b/>
          <w:sz w:val="20"/>
          <w:u w:val="single"/>
        </w:rPr>
        <w:t>Adverse Claim</w:t>
      </w:r>
      <w:r>
        <w:rPr>
          <w:rFonts w:ascii="Times New Roman" w:hAnsi="Times New Roman"/>
          <w:i/>
          <w:sz w:val="20"/>
        </w:rPr>
        <w:t xml:space="preserve">. </w:t>
      </w:r>
      <w:r>
        <w:rPr>
          <w:rFonts w:ascii="Times New Roman" w:hAnsi="Times New Roman"/>
          <w:sz w:val="20"/>
        </w:rPr>
        <w:t xml:space="preserve">(A) Any Person shall obtain an Adverse Claim upon the Collateral or any portion thereof, (B) any Person other than the Borrower, the Servicers or the Administrative Agent shall obtain any rights or direct any action with respect to any Collection Account (or related Lock-Box) or (C) any Obligor shall receive any change in payment instructions with respect to Pool Receivable(s) from a Person other than each Servicer or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b/>
          <w:sz w:val="20"/>
          <w:u w:val="single"/>
        </w:rPr>
        <w:t>Name Changes</w:t>
      </w:r>
      <w:r>
        <w:rPr>
          <w:rFonts w:ascii="Times New Roman" w:hAnsi="Times New Roman"/>
          <w:sz w:val="20"/>
        </w:rPr>
        <w:t xml:space="preserve">. At least ten (10) days before (except in the case of a change of name only, no later than two days before) any change in any Originator’s or the Borrower’s name, jurisdiction of organization or any other change requiring the amendment of UCC financing statements.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C</w:t>
      </w:r>
      <w:r>
        <w:rPr>
          <w:rFonts w:ascii="Times New Roman" w:hAnsi="Times New Roman"/>
          <w:b/>
          <w:sz w:val="20"/>
          <w:u w:val="single"/>
        </w:rPr>
        <w:t>hange in Accountants or Accounting Policy</w:t>
      </w:r>
      <w:r>
        <w:rPr>
          <w:rFonts w:ascii="Times New Roman" w:hAnsi="Times New Roman"/>
          <w:sz w:val="20"/>
        </w:rPr>
        <w:t xml:space="preserve">. Any change in (A) the external accountants of any Borrower-Related Party, (B) any accounting policy of the Borrower or (C) any material accounting policy of any Originator that is relevant to the transactions contemplated by this Agreement or any other Transaction Document (it being understood that any change to the manner in which any Originator accounts for the Pool Receivables shall be deemed “material” for such purpose).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b/>
          <w:sz w:val="20"/>
          <w:u w:val="single"/>
        </w:rPr>
        <w:t>Transfer Termination Event</w:t>
      </w:r>
      <w:r>
        <w:rPr>
          <w:rFonts w:ascii="Times New Roman" w:hAnsi="Times New Roman"/>
          <w:sz w:val="20"/>
        </w:rPr>
        <w:t xml:space="preserve">. The occurrence of any Transfer Termination Event. </w:t>
      </w:r>
    </w:p>
    <w:p>
      <w:pPr>
        <w:pStyle w:val="TextBody"/>
        <w:bidi w:val="0"/>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b/>
          <w:sz w:val="20"/>
          <w:u w:val="single"/>
        </w:rPr>
        <w:t>Material Adverse Effect</w:t>
      </w:r>
      <w:r>
        <w:rPr>
          <w:rFonts w:ascii="Times New Roman" w:hAnsi="Times New Roman"/>
          <w:sz w:val="20"/>
        </w:rPr>
        <w:t xml:space="preserve">. Promptly after the occurrence thereof, notice of any event that gives rise to a Material Adverse Effect with respect to the Borrower, the Servicers, the Performance Guarantor or any Originator. </w:t>
      </w:r>
    </w:p>
    <w:p>
      <w:pPr>
        <w:pStyle w:val="TextBody"/>
        <w:bidi w:val="0"/>
        <w:spacing w:before="120" w:after="0"/>
        <w:jc w:val="left"/>
        <w:rPr>
          <w:rFonts w:ascii="Times New Roman" w:hAnsi="Times New Roman"/>
          <w:sz w:val="20"/>
        </w:rPr>
      </w:pPr>
      <w:r>
        <w:rPr>
          <w:rFonts w:ascii="Times New Roman" w:hAnsi="Times New Roman"/>
          <w:sz w:val="20"/>
        </w:rPr>
        <w:t xml:space="preserve">(ix) </w:t>
      </w:r>
      <w:r>
        <w:rPr>
          <w:rFonts w:ascii="Times New Roman" w:hAnsi="Times New Roman"/>
          <w:b/>
          <w:sz w:val="20"/>
          <w:u w:val="single"/>
        </w:rPr>
        <w:t>ERISA Event</w:t>
      </w:r>
      <w:r>
        <w:rPr>
          <w:rFonts w:ascii="Times New Roman" w:hAnsi="Times New Roman"/>
          <w:sz w:val="20"/>
        </w:rPr>
        <w:t xml:space="preserve">. Immediately upon the occurrence of any ERISA Event, notice in writing setting forth the details thereof and the action which the Borrower-Related Parties propose to take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b/>
          <w:sz w:val="20"/>
          <w:u w:val="single"/>
        </w:rPr>
        <w:t>Material Indebtedness</w:t>
      </w:r>
      <w:r>
        <w:rPr>
          <w:rFonts w:ascii="Times New Roman" w:hAnsi="Times New Roman"/>
          <w:sz w:val="20"/>
        </w:rPr>
        <w:t xml:space="preserve">. The incurrence of any Material Indebtedness by any Borrower-Related Party or any amendments to or modifications of the terms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b/>
          <w:sz w:val="20"/>
          <w:u w:val="single"/>
        </w:rPr>
        <w:t>Conduct of Business</w:t>
      </w:r>
      <w:r>
        <w:rPr>
          <w:rFonts w:ascii="Times New Roman" w:hAnsi="Times New Roman"/>
          <w:sz w:val="20"/>
        </w:rPr>
        <w:t xml:space="preserve">. The Borrower will carry on and conduct its business in substantially the same manner and in substantially the same fields of enterprise as it is presently conducted and will do all things necessary to remain duly organized, validly existing and in good standing as a domestic organization in its jurisdiction of organization and maintain all requisite authority to conduct its business in each jurisdiction in which its business is conducted.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b/>
          <w:sz w:val="20"/>
          <w:u w:val="single"/>
        </w:rPr>
        <w:t>Compliance with Laws</w:t>
      </w:r>
      <w:r>
        <w:rPr>
          <w:rFonts w:ascii="Times New Roman" w:hAnsi="Times New Roman"/>
          <w:sz w:val="20"/>
        </w:rPr>
        <w:t xml:space="preserve">. The Borrower will comply with all applicable Laws to which it may be subject if the failure to comply would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b/>
          <w:sz w:val="20"/>
          <w:u w:val="single"/>
        </w:rPr>
        <w:t>Furnishing of Information and Inspection of Receivables</w:t>
      </w:r>
      <w:r>
        <w:rPr>
          <w:rFonts w:ascii="Times New Roman" w:hAnsi="Times New Roman"/>
          <w:sz w:val="20"/>
        </w:rPr>
        <w:t xml:space="preserve">. The Borrower will furnish or cause to be furnished to the Administrative Agent from time to time such information with respect to the Pool Receivables and the other Collateral as the Administrative Agent or any Lender may reasonably request. The Borrower will, at the Borrower’s expense, during regular business hours with prior written notice (i) permit the Administrative Agent and each Lender or their respective agents or representatives to (A) examine and make copies of and abstracts from all books and records relating to the Pool Receivables or other Collateral, (B) visit the offices and properties of the Borrower for the purpose of examining such books and records and (C) discuss matters relating to the Pool Receivables, the other Collateral or the Borrower’s performance hereunder or under the other Transaction Documents to which it is a party with any of the officers, directors, employees or independent public accountants of the Borrower having knowledge of such matters and (ii) without limiting the provisions of </w:t>
      </w:r>
      <w:r>
        <w:rPr>
          <w:rFonts w:ascii="Times New Roman" w:hAnsi="Times New Roman"/>
          <w:sz w:val="20"/>
          <w:u w:val="single"/>
        </w:rPr>
        <w:t>clause (i)</w:t>
      </w:r>
      <w:r>
        <w:rPr>
          <w:rFonts w:ascii="Times New Roman" w:hAnsi="Times New Roman"/>
          <w:sz w:val="20"/>
        </w:rPr>
        <w:t xml:space="preserve"> above, during regular business hours, at the Borrower’s expense, upon prior written notice from the Administrative Agent, permit certified public accountants or other auditors acceptable to the Administrative Agent to conduct a review of its books and records with respect to such Pool Receivables and other Collateral; </w:t>
      </w:r>
      <w:r>
        <w:rPr>
          <w:rFonts w:ascii="Times New Roman" w:hAnsi="Times New Roman"/>
          <w:sz w:val="20"/>
          <w:u w:val="single"/>
        </w:rPr>
        <w:t>provided</w:t>
      </w:r>
      <w:r>
        <w:rPr>
          <w:rFonts w:ascii="Times New Roman" w:hAnsi="Times New Roman"/>
          <w:sz w:val="20"/>
        </w:rPr>
        <w:t xml:space="preserve">, that the Borrower shall be required to reimburse the Administrative Agent for only one (1) such review pursuant to </w:t>
      </w:r>
      <w:r>
        <w:rPr>
          <w:rFonts w:ascii="Times New Roman" w:hAnsi="Times New Roman"/>
          <w:sz w:val="20"/>
          <w:u w:val="single"/>
        </w:rPr>
        <w:t>clause (ii)</w:t>
      </w:r>
      <w:r>
        <w:rPr>
          <w:rFonts w:ascii="Times New Roman" w:hAnsi="Times New Roman"/>
          <w:sz w:val="20"/>
        </w:rPr>
        <w:t xml:space="preserve"> above in any twelve-month period, unless an Event of Default or Financial Covenant Event has occurred and is continuing.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b/>
          <w:sz w:val="20"/>
          <w:u w:val="single"/>
        </w:rPr>
        <w:t>Payments on Receivables, Collection Accounts</w:t>
      </w:r>
      <w:r>
        <w:rPr>
          <w:rFonts w:ascii="Times New Roman" w:hAnsi="Times New Roman"/>
          <w:sz w:val="20"/>
        </w:rPr>
        <w:t xml:space="preserve">. The Borrower (or each Servicer on its behalf) will, and will cause each Originator to, at all times, instruct all Obligors to deliver payments on the Pool Receivables to (A) if the applicable Receivables are settled through a Clearing House, to the applicable Settlement Account and (B) if the applicable Receivables are not settled through a Clearing House, to a Collection Account or a Lock-Box. The Borrower shall cause any Collections received in the Settlement Account to be swept within one (1) Business Day to a Collection Account pursuant to standing instructions to the Settlement Agent; </w:t>
      </w:r>
      <w:r>
        <w:rPr>
          <w:rFonts w:ascii="Times New Roman" w:hAnsi="Times New Roman"/>
          <w:sz w:val="20"/>
          <w:u w:val="single"/>
        </w:rPr>
        <w:t>provided</w:t>
      </w:r>
      <w:r>
        <w:rPr>
          <w:rFonts w:ascii="Times New Roman" w:hAnsi="Times New Roman"/>
          <w:sz w:val="20"/>
        </w:rPr>
        <w:t xml:space="preserve"> that the Administrative Agent, upon written notice to the Borrower, may require the Borrower to establish one or more Collection Accounts at PNC and sweep all Collections received in the Settlement Accounts to such Collection Account(s) maintained at PNC. The Borrower (or each Servicer on its behalf) will, and will cause each Originator to, at all times, maintain such books and records necessary to identify Collections received from time to time on Pool Receivables and to segregate such Collections from other property of each Servicer and the Originators. If any payments on the Pool Receivables or other Collections are received by the Borrower, a Servicer or an Originator, it shall hold such payments in trust for the benefit of the Administrative Agent, the Lenders and the other Secured Parties and promptly (but in any event within two (2) Business Days after receipt) remit such funds into a Collection Account. The Borrower (or each Servicer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its behalf) will cause each Collection Account Bank to comply with the terms of each applicable Account Control Agreement. At all times after the Closing Date, the Borrower shall not permit funds other than Collections on Pool Receivables and other Collateral to be deposited into any Collection Account; </w:t>
      </w:r>
      <w:r>
        <w:rPr>
          <w:rFonts w:ascii="Times New Roman" w:hAnsi="Times New Roman"/>
          <w:sz w:val="20"/>
          <w:u w:val="single"/>
        </w:rPr>
        <w:t>provided</w:t>
      </w:r>
      <w:r>
        <w:rPr>
          <w:rFonts w:ascii="Times New Roman" w:hAnsi="Times New Roman"/>
          <w:sz w:val="20"/>
        </w:rPr>
        <w:t xml:space="preserve">, that the Borrower may permit proceeds of </w:t>
      </w:r>
      <w:r>
        <w:rPr>
          <w:rFonts w:ascii="Times New Roman" w:hAnsi="Times New Roman"/>
          <w:strike/>
          <w:color w:val="FF0000"/>
          <w:sz w:val="20"/>
        </w:rPr>
        <w:t xml:space="preserve">AirCentre Receivables, GetThere Receivables, IHS Receivables, </w:t>
      </w:r>
      <w:r>
        <w:rPr>
          <w:rFonts w:ascii="Times New Roman" w:hAnsi="Times New Roman"/>
          <w:sz w:val="20"/>
        </w:rPr>
        <w:t xml:space="preserve">Sabre HS Receivables, Subscriber Receivables and Restricted Non-U.S. Law Receivables to be deposited into Lock-Box Accounts so long as each of the following conditions are met: (i) the Borrower shall, and shall cause its Subsidiaries to, maintain a system of accounting that enables it to at all times determine the amount of Collections and the amount of proceeds of </w:t>
      </w:r>
      <w:r>
        <w:rPr>
          <w:rFonts w:ascii="Times New Roman" w:hAnsi="Times New Roman"/>
          <w:strike/>
          <w:color w:val="FF0000"/>
          <w:sz w:val="20"/>
        </w:rPr>
        <w:t xml:space="preserve">AirCentre Receivables, GetThere Receivables, IHS Receivables, </w:t>
      </w:r>
      <w:r>
        <w:rPr>
          <w:rFonts w:ascii="Times New Roman" w:hAnsi="Times New Roman"/>
          <w:sz w:val="20"/>
        </w:rPr>
        <w:t xml:space="preserve">Sabre HS Receivables, Subscriber Receivables and Restricted Non-U.S. Law Receivables, in each case, on deposit in the Collection Accounts, (ii) the Servicer shall remove any such proceeds of </w:t>
      </w:r>
      <w:r>
        <w:rPr>
          <w:rFonts w:ascii="Times New Roman" w:hAnsi="Times New Roman"/>
          <w:strike/>
          <w:color w:val="FF0000"/>
          <w:sz w:val="20"/>
        </w:rPr>
        <w:t xml:space="preserve">AirCentre Receivables, GetThere Receivables, IHS Receivables, </w:t>
      </w:r>
      <w:r>
        <w:rPr>
          <w:rFonts w:ascii="Times New Roman" w:hAnsi="Times New Roman"/>
          <w:sz w:val="20"/>
        </w:rPr>
        <w:t>Sabre HS Receivables, Subscriber Receivables and Restricted Non-U.S. Law Receivables from Collection Accounts within two (2) Business Days of receipt thereof, (iii) if proceeds of Subscriber Receivables in excess of $10,000,000 are deposited in the Collection Accounts in any calendar month, within 10 Business Days of PNC’s written request therefor, the Borrower (or Servicer on its behalf) shall direct (and use commercially reasonable efforts to cause) account debtors with respect to Subscriber Receivables to deposit the proceeds thereof in deposit accounts other than the Collection Accounts; (iv) </w:t>
      </w:r>
      <w:r>
        <w:rPr>
          <w:rFonts w:ascii="Times New Roman" w:hAnsi="Times New Roman"/>
          <w:strike/>
          <w:color w:val="FF0000"/>
          <w:sz w:val="20"/>
        </w:rPr>
        <w:t>no account debtors with respect to AirCentre Receivables may be directed to deposit proceeds thereof to any Collection Account after February 28, 2024, other than account debtors who have not yet consented to the assignment of their related customer contract to the purchaser of the related business, it being understood that the applicable Originators are working in good faith pursuant to their obligations to such purchaser to obtain such consents from such account debtors; (v) no account debtors with respect to GetThere Receivables may be directed to deposit proceeds thereof to any Collection Account after July 18, 2026, other than account debtors who have not yet consented to the assignment of their related customer contract to the purchaser of the related business, it being understood that the applicable Originators are working in good faith pursuant to their obligations to such purchaser to obtain such consents from such account debtors</w:t>
      </w:r>
      <w:r>
        <w:rPr>
          <w:rFonts w:ascii="Times New Roman" w:hAnsi="Times New Roman"/>
          <w:color w:val="0000FF"/>
          <w:sz w:val="20"/>
          <w:u w:val="single"/>
          <w:bdr w:val="double" w:sz="2" w:space="1" w:color="000000"/>
        </w:rPr>
        <w:t>[reserved]; (v) [reserved]</w:t>
      </w:r>
      <w:r>
        <w:rPr>
          <w:rFonts w:ascii="Times New Roman" w:hAnsi="Times New Roman"/>
          <w:sz w:val="20"/>
        </w:rPr>
        <w:t xml:space="preserve">, and (vi) no account debtors with respect to </w:t>
      </w:r>
      <w:r>
        <w:rPr>
          <w:rFonts w:ascii="Times New Roman" w:hAnsi="Times New Roman"/>
          <w:strike/>
          <w:color w:val="FF0000"/>
          <w:sz w:val="20"/>
        </w:rPr>
        <w:t xml:space="preserve">IHS Receivables and </w:t>
      </w:r>
      <w:r>
        <w:rPr>
          <w:rFonts w:ascii="Times New Roman" w:hAnsi="Times New Roman"/>
          <w:sz w:val="20"/>
        </w:rPr>
        <w:t xml:space="preserve">Sabre HS Receivables may be directed to deposit proceeds thereof to any Collection Account after July 3, 2026, other than account debtors who have not yet consented to the assignment of their related customer contract to the purchaser of the related business, it being understood that the applicable Originators are working in good faith pursuant to their obligations to such purchaser to obtain such consents from such account debtors. If such funds are nevertheless deposited into any Collection Account, the Borrower (or the U.S. Servicer on its behalf) will within two (2) Business Days identify and transfer such funds to the appropriate Person entitled to such funds. At all times after the Closing Date, the Borrower will not, and will not permit each Servicer, any Originator or any other Person to commingle Collections or other funds to which the Administrative Agent, any Lender or any other Secured Party is entitled, with any other funds except as set forth elsewhere in this Section 7.01(h). The Borrower shall only add a Collection Account (or a related Lock-Box) or a Collection Account Bank to those listed on </w:t>
      </w:r>
      <w:r>
        <w:rPr>
          <w:rFonts w:ascii="Times New Roman" w:hAnsi="Times New Roman"/>
          <w:sz w:val="20"/>
          <w:u w:val="single"/>
        </w:rPr>
        <w:t>Schedule II</w:t>
      </w:r>
      <w:r>
        <w:rPr>
          <w:rFonts w:ascii="Times New Roman" w:hAnsi="Times New Roman"/>
          <w:sz w:val="20"/>
        </w:rPr>
        <w:t xml:space="preserve"> to this Agreement, if the Administrative Agent has received notice of such addition and an executed and acknowledged copy of an Account Control Agreement (or an amendment thereto) in form and substance acceptable to the Administrative Agent from the applicable Collection Account Bank. The Borrower shall only terminate a Collection Account Bank or close a Collection Account (or a related Lock-Box) with the prior written consent of the Administrative Agent. The Borrower shall ensure that no disbursements are made from any Collection Account, other than such disbursements that are made at the direction and for the account of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b/>
          <w:sz w:val="20"/>
          <w:u w:val="single"/>
        </w:rPr>
        <w:t>Sales, Liens, etc</w:t>
      </w:r>
      <w:r>
        <w:rPr>
          <w:rFonts w:ascii="Times New Roman" w:hAnsi="Times New Roman"/>
          <w:sz w:val="20"/>
        </w:rPr>
        <w:t xml:space="preserve">. Except as otherwise provided herein, the Borrower will not sell, assign (by operation of law or otherwise) or otherwise dispose of, or create or suffer to exist any Adverse Claim upon (including the filing of any financing statement) or with respect to, any Pool Receivable or other Collateral, or assign any right to receive income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b/>
          <w:sz w:val="20"/>
          <w:u w:val="single"/>
        </w:rPr>
        <w:t>Extension or Amendment of Pool Receivables</w:t>
      </w:r>
      <w:r>
        <w:rPr>
          <w:rFonts w:ascii="Times New Roman" w:hAnsi="Times New Roman"/>
          <w:i/>
          <w:sz w:val="20"/>
        </w:rPr>
        <w:t xml:space="preserve">. </w:t>
      </w:r>
      <w:r>
        <w:rPr>
          <w:rFonts w:ascii="Times New Roman" w:hAnsi="Times New Roman"/>
          <w:sz w:val="20"/>
        </w:rPr>
        <w:t xml:space="preserve">Except as otherwise permitted in </w:t>
      </w:r>
      <w:r>
        <w:rPr>
          <w:rFonts w:ascii="Times New Roman" w:hAnsi="Times New Roman"/>
          <w:sz w:val="20"/>
          <w:u w:val="single"/>
        </w:rPr>
        <w:t>Section 8.02</w:t>
      </w:r>
      <w:r>
        <w:rPr>
          <w:rFonts w:ascii="Times New Roman" w:hAnsi="Times New Roman"/>
          <w:sz w:val="20"/>
        </w:rPr>
        <w:t xml:space="preserve">, the Borrower will not, and will not permit each Servicer to, alter the delinquency status or adjust the Outstanding Balance or otherwise modify the terms of any Pool Receivable in any material respect, or amend, modify or waive, in any material respect, any term or condition of any related Contract. The Borrower shall at its expense, timely and fully perform and comply in all material respects with all provisions, covenants and other promises required to be observed by it under the Contracts related to the Pool Receivables, and timely and fully comply with the Credit and Collection Policy with regard to each Pool Receivable and the related Contract.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b/>
          <w:sz w:val="20"/>
          <w:u w:val="single"/>
        </w:rPr>
        <w:t>Change in Credit and Collection Policy</w:t>
      </w:r>
      <w:r>
        <w:rPr>
          <w:rFonts w:ascii="Times New Roman" w:hAnsi="Times New Roman"/>
          <w:sz w:val="20"/>
        </w:rPr>
        <w:t xml:space="preserve">. The Servicers will not make any material change in the Credit and Collection Policy without five (5) Business Day’s prior written notice to the Administrative Agent and the Required Lenders that such changes would not reasonably be expected to have a Material Adverse Effect. Promptly following the effectiveness of any such material change in the Credit and Collection Policy, the Borrower will deliver a copy of the updated Credit and Collection Policy to the Administrative Agent and each Lender.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b/>
          <w:sz w:val="20"/>
          <w:u w:val="single"/>
        </w:rPr>
        <w:t>Fundamental Changes</w:t>
      </w:r>
      <w:r>
        <w:rPr>
          <w:rFonts w:ascii="Times New Roman" w:hAnsi="Times New Roman"/>
          <w:sz w:val="20"/>
        </w:rPr>
        <w:t xml:space="preserve">. The Borrower shall not, without the prior written consent of the Administrative Agent and the Required Lenders, permit itself (i) to merge or consolidate with or into, or convey, transfer, lease or otherwise dispose of (whether in one transaction or in a series of transactions) all or substantially all of its assets (whether now owned or hereafter acquired) to, any Person, (ii) undertake any LLC Division or any other division of its rights, assets, obligations, or liabilities pursuant to a plan of division or otherwise pursuant to Law or (iii) to be directly owned by any Person other than an Originator. The Borrower shall not, without the prior written consent of the Administrative Agent and the Required Lenders, make any change in the Borrower’s name, identity, corporate structure or location or make any other change in the Borrower’s identity or corporate structure that could impair or otherwise render any UCC financing statement filed in connection with this Agreement or any other Transaction Document “seriously misleading” as such term (or similar term) is used in the applicable UCC.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b/>
          <w:sz w:val="20"/>
          <w:u w:val="single"/>
        </w:rPr>
        <w:t>Books and Records</w:t>
      </w:r>
      <w:r>
        <w:rPr>
          <w:rFonts w:ascii="Times New Roman" w:hAnsi="Times New Roman"/>
          <w:sz w:val="20"/>
        </w:rPr>
        <w:t xml:space="preserve">. The Borrower shall maintain and implement (or cause each Servicer to maintain and implement) administrative and operating procedures (including an ability to recreate material records evidencing Pool Receivables and related Contracts in the event of the destruction of the originals thereof), and keep and maintain (or cause each Servicer to keep and maintain) all documents, books, records, computer tapes and disks and other information reasonably necessary or advisable for the collection of all Pool Receivables (including records adequate to permit the daily identification of each Pool Receivable and all Collections of and adjustments to each existing Pool Receivable).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w:t>
      </w:r>
      <w:r>
        <w:rPr>
          <w:rFonts w:ascii="Times New Roman" w:hAnsi="Times New Roman"/>
          <w:b/>
          <w:sz w:val="20"/>
          <w:u w:val="single"/>
        </w:rPr>
        <w:t>Identifying of Records</w:t>
      </w:r>
      <w:r>
        <w:rPr>
          <w:rFonts w:ascii="Times New Roman" w:hAnsi="Times New Roman"/>
          <w:sz w:val="20"/>
        </w:rPr>
        <w:t xml:space="preserve">. The Borrower shall: (i) cause (or cause each Servicer to cause ) its master data processing records relating to Pool Receivables and related Contracts to clearly and unambiguously indicate that the Pool Receivables have been pledged in accordance with this Agreement and (ii) cause each Originator so cause its master data processing records to so indicate.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b/>
          <w:sz w:val="20"/>
          <w:u w:val="single"/>
        </w:rPr>
        <w:t>Change in Payment Instructions to Obligors</w:t>
      </w:r>
      <w:r>
        <w:rPr>
          <w:rFonts w:ascii="Times New Roman" w:hAnsi="Times New Roman"/>
          <w:sz w:val="20"/>
        </w:rPr>
        <w:t xml:space="preserve">. The Borrower shall not (and shall not permit each Servicer or any Sub-Servicer to) add, replace or terminate any Collection Account (or any related Lock-Box) or make any change in its (or their) instructions to the Obligors regarding payments to be made to the Collection Accounts (or any related Lock-Box), other than any instruction to remit payments to a different Collection Account (or any related Lock-Box), unless the Administrative Agent shall have received (i) prior written notice of such addition, termination or change and (ii) a signed and acknowledged Account Control Agreement (or amendment thereto) with respect to such new Collection Accounts (or any related Lock-Box), and the Administrative Agent shall have consented to such change in writing.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b/>
          <w:sz w:val="20"/>
          <w:u w:val="single"/>
        </w:rPr>
        <w:t>Security Interest, Etc</w:t>
      </w:r>
      <w:r>
        <w:rPr>
          <w:rFonts w:ascii="Times New Roman" w:hAnsi="Times New Roman"/>
          <w:sz w:val="20"/>
        </w:rPr>
        <w:t xml:space="preserve">. The Borrower shall (and shall cause each Servicer to), at its expense, take all action necessary to establish and maintain a valid and enforceable first priority perfected security interest in the Collateral, in each case free and clear of any Adverse Claim, in favor of the Administrative Agent (on behalf of the Secured Parties), including taking such action to perfect, protect or more fully evidence the security interest of the Administrative Agent (on behalf of the Secured Parties) as the Administrative Agent or any Secured Party may reasonably request. In order to evidence the security interests of the Administrative Agent under this Agreement, the Borrower shall, from time to time take such action, or execute and deliver such instruments as may be necessary (including such actions as are reasonably requested by the Administrative Agent) to maintain and perfect, as a first-priority interest, the Administrative Agent’s security interest in the Receivables, Related Security and Collections. The Borrower shall, from time to time and within the time limits established by law, prepare and present to the Administrative Agent for the Administrative Agent’s authorization and approval, all financing statements, amendments, continuations or initial financing statements in lieu of a continuation statement, or other filings necessary to continue, maintain and perfect the Administrative Agent’s security interest as a first-priority interest. The Administrative Agent’s approval of such filings shall authorize the Borrower to file such financing statements under the UCC without the signature of the Borrower, any Originator or the Administrative Agent where allowed by applicable Law. Notwithstanding anything else in the Transaction Documents to the contrary, the Borrower shall not have any authority to file a termination, partial termination, release, partial release, or any amendment that deletes the name of a debtor or excludes collateral of any such financing statements filed in connection with the Transaction Documents, without the prior written consent of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b/>
          <w:sz w:val="20"/>
          <w:u w:val="single"/>
        </w:rPr>
        <w:t>Certain Agreements</w:t>
      </w:r>
      <w:r>
        <w:rPr>
          <w:rFonts w:ascii="Times New Roman" w:hAnsi="Times New Roman"/>
          <w:sz w:val="20"/>
        </w:rPr>
        <w:t xml:space="preserve">. Without the prior written consent of the Administrative Agent and the Required Lenders, the Borrower will not (and will not permit any Originator or each Servicer to) amend, modify, waive, revoke or terminate any Transaction Document to which it is a party or any provision of the Borrower’s organizational documents which requires the consent of the “Independent Director” (as such term is used in the Borrower’s certificate of formation and limited liability company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 </w:t>
      </w:r>
      <w:r>
        <w:rPr>
          <w:rFonts w:ascii="Times New Roman" w:hAnsi="Times New Roman"/>
          <w:b/>
          <w:sz w:val="20"/>
          <w:u w:val="single"/>
        </w:rPr>
        <w:t>Restricted Payments</w:t>
      </w:r>
      <w:r>
        <w:rPr>
          <w:rFonts w:ascii="Times New Roman" w:hAnsi="Times New Roman"/>
          <w:sz w:val="20"/>
        </w:rPr>
        <w:t xml:space="preserve">. (i) Except pursuant to </w:t>
      </w:r>
      <w:r>
        <w:rPr>
          <w:rFonts w:ascii="Times New Roman" w:hAnsi="Times New Roman"/>
          <w:sz w:val="20"/>
          <w:u w:val="single"/>
        </w:rPr>
        <w:t>clause (ii)</w:t>
      </w:r>
      <w:r>
        <w:rPr>
          <w:rFonts w:ascii="Times New Roman" w:hAnsi="Times New Roman"/>
          <w:sz w:val="20"/>
        </w:rPr>
        <w:t xml:space="preserve"> below, the Borrower will not: (A) purchase or redeem any of its membership interests, (B) declare or pay any dividend or set aside any funds for any such purpose, (C) prepay, purchase or redeem any Indebtedness, (D) lend or advance any funds or (E) repay any loans or advances (including any Subordinated Loan) to, for or from any of its Affiliates (the amounts described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(E)</w:t>
      </w:r>
      <w:r>
        <w:rPr>
          <w:rFonts w:ascii="Times New Roman" w:hAnsi="Times New Roman"/>
          <w:sz w:val="20"/>
        </w:rPr>
        <w:t> being referred to as “</w:t>
      </w:r>
      <w:r>
        <w:rPr>
          <w:rFonts w:ascii="Times New Roman" w:hAnsi="Times New Roman"/>
          <w:sz w:val="20"/>
          <w:u w:val="single"/>
        </w:rPr>
        <w:t>Restricted 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Payments of principal and interest on any Subordinated Loan may be made on each Settlement Date pursuant to </w:t>
      </w:r>
      <w:r>
        <w:rPr>
          <w:rFonts w:ascii="Times New Roman" w:hAnsi="Times New Roman"/>
          <w:sz w:val="20"/>
          <w:u w:val="single"/>
        </w:rPr>
        <w:t>Section 3.01(a)(vi)</w:t>
      </w:r>
      <w:r>
        <w:rPr>
          <w:rFonts w:ascii="Times New Roman" w:hAnsi="Times New Roman"/>
          <w:sz w:val="20"/>
        </w:rPr>
        <w:t xml:space="preserve"> to the extent funds are available therefor in accordance with the priorities for payment set forth in </w:t>
      </w:r>
      <w:r>
        <w:rPr>
          <w:rFonts w:ascii="Times New Roman" w:hAnsi="Times New Roman"/>
          <w:sz w:val="20"/>
          <w:u w:val="single"/>
        </w:rPr>
        <w:t>Section 3.01(a)</w:t>
      </w:r>
      <w:r>
        <w:rPr>
          <w:rFonts w:ascii="Times New Roman" w:hAnsi="Times New Roman"/>
          <w:sz w:val="20"/>
        </w:rPr>
        <w:t xml:space="preserve"> and on the date of any Release to the extent funds are permitted to be Released for such purpose in accordance with Section 3.01(a). In addition, on any Settlement Date solely from amounts paid to the Borrower for its own account pursuant to </w:t>
      </w:r>
      <w:r>
        <w:rPr>
          <w:rFonts w:ascii="Times New Roman" w:hAnsi="Times New Roman"/>
          <w:sz w:val="20"/>
          <w:u w:val="single"/>
        </w:rPr>
        <w:t>Section 3.01(a)(vi)</w:t>
      </w:r>
      <w:r>
        <w:rPr>
          <w:rFonts w:ascii="Times New Roman" w:hAnsi="Times New Roman"/>
          <w:sz w:val="20"/>
        </w:rPr>
        <w:t xml:space="preserve"> after all payments and allocations required to be made pursuant to </w:t>
      </w:r>
      <w:r>
        <w:rPr>
          <w:rFonts w:ascii="Times New Roman" w:hAnsi="Times New Roman"/>
          <w:sz w:val="20"/>
          <w:u w:val="single"/>
        </w:rPr>
        <w:t>Section 3.01(a)</w:t>
      </w:r>
      <w:r>
        <w:rPr>
          <w:rFonts w:ascii="Times New Roman" w:hAnsi="Times New Roman"/>
          <w:sz w:val="20"/>
        </w:rPr>
        <w:t xml:space="preserve"> have been made on such Settlement Date, the Borrower may declare and pay dividends to Sabre, repay any Subordinated Loan or pay interest accrued on any Subordinated Loan, in each case, only so long as no Event of Default, Financial Covenant Event or Potential Default has occurred and is continuing or would result therefrom;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Borrower shall not declare or pay any dividends to Sabre if the Borrower’s Net Worth would be less than the Required Capital Amount immediately after giving effect to such dividend. </w:t>
      </w:r>
    </w:p>
    <w:p>
      <w:pPr>
        <w:pStyle w:val="TextBody"/>
        <w:bidi w:val="0"/>
        <w:spacing w:before="120" w:after="0"/>
        <w:jc w:val="left"/>
        <w:rPr>
          <w:rFonts w:ascii="Times New Roman" w:hAnsi="Times New Roman"/>
          <w:sz w:val="20"/>
        </w:rPr>
      </w:pPr>
      <w:r>
        <w:rPr>
          <w:rFonts w:ascii="Times New Roman" w:hAnsi="Times New Roman"/>
          <w:sz w:val="20"/>
        </w:rPr>
        <w:t xml:space="preserve">(s) </w:t>
      </w:r>
      <w:r>
        <w:rPr>
          <w:rFonts w:ascii="Times New Roman" w:hAnsi="Times New Roman"/>
          <w:b/>
          <w:sz w:val="20"/>
          <w:u w:val="single"/>
        </w:rPr>
        <w:t>Other Business</w:t>
      </w:r>
      <w:r>
        <w:rPr>
          <w:rFonts w:ascii="Times New Roman" w:hAnsi="Times New Roman"/>
          <w:sz w:val="20"/>
        </w:rPr>
        <w:t xml:space="preserve">. The Borrower will not: (i) engage in any business other than the transactions contemplated by the Transaction Documents, (ii) create, incur or permit to exist any Indebtedness of any kind (or cause or permit to be issued for its account any letters of credit or bankers’ acceptances) other than pursuant to this Agreement or the Subordinated Loans or (iii) form any Subsidiary or make any investments in any other Person. </w:t>
      </w:r>
    </w:p>
    <w:p>
      <w:pPr>
        <w:pStyle w:val="TextBody"/>
        <w:bidi w:val="0"/>
        <w:spacing w:before="120" w:after="0"/>
        <w:jc w:val="left"/>
        <w:rPr>
          <w:rFonts w:ascii="Times New Roman" w:hAnsi="Times New Roman"/>
          <w:sz w:val="20"/>
        </w:rPr>
      </w:pPr>
      <w:r>
        <w:rPr>
          <w:rFonts w:ascii="Times New Roman" w:hAnsi="Times New Roman"/>
          <w:sz w:val="20"/>
        </w:rPr>
        <w:t xml:space="preserve">(t) </w:t>
      </w:r>
      <w:r>
        <w:rPr>
          <w:rFonts w:ascii="Times New Roman" w:hAnsi="Times New Roman"/>
          <w:b/>
          <w:sz w:val="20"/>
          <w:u w:val="single"/>
        </w:rPr>
        <w:t>Use of Collections Available to the Borrower</w:t>
      </w:r>
      <w:r>
        <w:rPr>
          <w:rFonts w:ascii="Times New Roman" w:hAnsi="Times New Roman"/>
          <w:sz w:val="20"/>
        </w:rPr>
        <w:t xml:space="preserve">. The Borrower shall apply Collections available to the Borrower to make payments in accordance with </w:t>
      </w:r>
      <w:r>
        <w:rPr>
          <w:rFonts w:ascii="Times New Roman" w:hAnsi="Times New Roman"/>
          <w:sz w:val="20"/>
          <w:u w:val="single"/>
        </w:rPr>
        <w:t>Section 3.01(a)</w:t>
      </w:r>
      <w:r>
        <w:rPr>
          <w:rFonts w:ascii="Times New Roman" w:hAnsi="Times New Roman"/>
          <w:sz w:val="20"/>
        </w:rPr>
        <w:t xml:space="preserve"> or as otherwise permitted under the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(u) </w:t>
      </w:r>
      <w:r>
        <w:rPr>
          <w:rFonts w:ascii="Times New Roman" w:hAnsi="Times New Roman"/>
          <w:b/>
          <w:sz w:val="20"/>
          <w:u w:val="single"/>
        </w:rPr>
        <w:t>Further Assurances; Change in Name or Jurisdiction of Origination, etc</w:t>
      </w:r>
      <w:r>
        <w:rPr>
          <w:rFonts w:ascii="Times New Roman" w:hAnsi="Times New Roman"/>
          <w:sz w:val="20"/>
          <w:u w:val="single"/>
        </w:rPr>
        <w:t>.</w:t>
      </w:r>
      <w:r>
        <w:rPr>
          <w:rFonts w:ascii="Times New Roman" w:hAnsi="Times New Roman"/>
          <w:sz w:val="20"/>
        </w:rPr>
        <w:t xml:space="preserve"> (i) The Borrower hereby authorizes and hereby agrees from time to time, at its own expense, promptly to execute (if necessary) and deliver all further instruments and documents, and to take all further actions, that may be necessary or desirable, or that the Administrative Agent may reasonably request, to perfect, protect or more fully evidence the security interest granted pursuant to this Agreement or any other Transaction Document, or to enable the Administrative Agent (on behalf of the Secured Parties) to exercise and enforce the Secured Parties’ rights and remedies under this Agreement and the other Transaction Documents. Without limiting the foregoing, the Borrower hereby authorizes, and will, upon the request of the Administrative Agent, at the Borrower’s own expense, execute (if necessary) and file such financing statements or continuation statements, or amendments thereto, and such other instruments and documents, that may be necessary or desirable, or that the Administrative Agent may reasonably request, to perfect, protect or evidence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Borrower authorizes the Administrative Agent to file financing statements, continuation statements and amendments thereto and assignments thereof, relating to the Receivables, the Related Security, the related Contracts, Collections with respect thereto and the other Collateral without the signature of the Borrower. A photocopy or other reproduction of this Agreement shall be sufficient as a financing statement where permitted by law. </w:t>
      </w:r>
    </w:p>
    <w:p>
      <w:pPr>
        <w:pStyle w:val="TextBody"/>
        <w:bidi w:val="0"/>
        <w:spacing w:before="120" w:after="0"/>
        <w:jc w:val="left"/>
        <w:rPr>
          <w:rFonts w:ascii="Times New Roman" w:hAnsi="Times New Roman"/>
          <w:sz w:val="20"/>
        </w:rPr>
      </w:pPr>
      <w:r>
        <w:rPr>
          <w:rFonts w:ascii="Times New Roman" w:hAnsi="Times New Roman"/>
          <w:sz w:val="20"/>
        </w:rPr>
        <w:t xml:space="preserve">(ii) The Borrower shall at all times be organized under the laws of the State of Delaware and shall not take any action to change its jurisdiction of organization without the prior written consent of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(iii) The Borrower will not change its name, location, identity or corporate structure unless (x) the Borrower, at its own expense, shall have taken all action necessary or appropriate to perfect or maintain the perfection of the security interest under this Agreement (including the filing of all financing statements and the taking of such other action as the Administrative Agent may request in connection with such change or relocation) and (y) if requested by the Administrative Agent, the Borrower shall cause to be delivered to the Administrative Agent, an opinion, in form and substance satisfactory to the Administrative Agent as to such UCC perfection and priority matters as the Administrative Agent may request at such time.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b/>
          <w:sz w:val="20"/>
          <w:u w:val="single"/>
        </w:rPr>
        <w:t>Sanctions and other Anti-Terrorism Laws; Anti-Corruption Laws</w:t>
      </w:r>
      <w:r>
        <w:rPr>
          <w:rFonts w:ascii="Times New Roman" w:hAnsi="Times New Roman"/>
          <w:sz w:val="20"/>
        </w:rPr>
        <w:t xml:space="preserve">. The Borrower covenants and agrees that: </w:t>
      </w:r>
    </w:p>
    <w:p>
      <w:pPr>
        <w:pStyle w:val="TextBody"/>
        <w:bidi w:val="0"/>
        <w:spacing w:before="120" w:after="0"/>
        <w:jc w:val="left"/>
        <w:rPr>
          <w:rFonts w:ascii="Times New Roman" w:hAnsi="Times New Roman"/>
          <w:sz w:val="20"/>
        </w:rPr>
      </w:pPr>
      <w:r>
        <w:rPr>
          <w:rFonts w:ascii="Times New Roman" w:hAnsi="Times New Roman"/>
          <w:sz w:val="20"/>
        </w:rPr>
        <w:t xml:space="preserve">(i) It shall promptly notify each Credit Party in writing upon the occurrence of a Reportable Compliance Event; </w:t>
      </w:r>
    </w:p>
    <w:p>
      <w:pPr>
        <w:pStyle w:val="TextBody"/>
        <w:bidi w:val="0"/>
        <w:spacing w:before="120" w:after="0"/>
        <w:jc w:val="left"/>
        <w:rPr>
          <w:rFonts w:ascii="Times New Roman" w:hAnsi="Times New Roman"/>
          <w:sz w:val="20"/>
        </w:rPr>
      </w:pPr>
      <w:r>
        <w:rPr>
          <w:rFonts w:ascii="Times New Roman" w:hAnsi="Times New Roman"/>
          <w:sz w:val="20"/>
        </w:rPr>
        <w:t xml:space="preserve">(ii) if, at any time, any Collateral becomes Blocked Property, then, in addition to all other rights and remedies available to any Credit Party, upon request by any Credit Party, the Borrower shall provide substitute Collateral that is not Blocked Property; </w:t>
      </w:r>
    </w:p>
    <w:p>
      <w:pPr>
        <w:pStyle w:val="TextBody"/>
        <w:bidi w:val="0"/>
        <w:spacing w:before="120" w:after="0"/>
        <w:jc w:val="left"/>
        <w:rPr>
          <w:rFonts w:ascii="Times New Roman" w:hAnsi="Times New Roman"/>
          <w:sz w:val="20"/>
        </w:rPr>
      </w:pPr>
      <w:r>
        <w:rPr>
          <w:rFonts w:ascii="Times New Roman" w:hAnsi="Times New Roman"/>
          <w:sz w:val="20"/>
        </w:rPr>
        <w:t xml:space="preserve">(iii) it shall, and shall require each other Covered Entity to, conduct its business in compliance with applicable Anti-Corruption Laws and maintain policies and procedures reasonably designed to promote compliance with such Laws; </w:t>
      </w:r>
    </w:p>
    <w:p>
      <w:pPr>
        <w:pStyle w:val="TextBody"/>
        <w:bidi w:val="0"/>
        <w:spacing w:before="120" w:after="0"/>
        <w:jc w:val="left"/>
        <w:rPr>
          <w:rFonts w:ascii="Times New Roman" w:hAnsi="Times New Roman"/>
          <w:sz w:val="20"/>
        </w:rPr>
      </w:pPr>
      <w:r>
        <w:rPr>
          <w:rFonts w:ascii="Times New Roman" w:hAnsi="Times New Roman"/>
          <w:sz w:val="20"/>
        </w:rPr>
        <w:t xml:space="preserve">(iv) it and its Subsidiaries will not: (A) become a Sanctioned Person; (B) directly, or indirectly through a third party, engage in any transactions or other dealings with or for the benefit of any Sanctioned Person or Sanctioned Jurisdiction, including any use of the proceeds of the Loans to fund any operations in, finance any investments or activities in, or, make any payments to, a Sanctioned Person or Sanctioned Jurisdiction, in violation of Sanctions; (C) pay or repay any Borrower Obligations with Blocked Property or funds derived from any unlawful activity; (D) permit any Collateral to become Blocked Property; or (E) cause any Credit Party to violate any Anti-Terrorism Law; and </w:t>
      </w:r>
    </w:p>
    <w:p>
      <w:pPr>
        <w:pStyle w:val="TextBody"/>
        <w:bidi w:val="0"/>
        <w:spacing w:before="120" w:after="0"/>
        <w:jc w:val="left"/>
        <w:rPr>
          <w:rFonts w:ascii="Times New Roman" w:hAnsi="Times New Roman"/>
          <w:sz w:val="20"/>
        </w:rPr>
      </w:pPr>
      <w:r>
        <w:rPr>
          <w:rFonts w:ascii="Times New Roman" w:hAnsi="Times New Roman"/>
          <w:sz w:val="20"/>
        </w:rPr>
        <w:t xml:space="preserve">(v) it will not, and will not permit any of its Subsidiaries to, directly or indirectly, use the Loans or any proceeds thereof in any manner that would result in a violation by any Covered Entity or any Credit Party of Anti-Corruption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 </w:t>
      </w:r>
      <w:r>
        <w:rPr>
          <w:rFonts w:ascii="Times New Roman" w:hAnsi="Times New Roman"/>
          <w:b/>
          <w:sz w:val="20"/>
          <w:u w:val="single"/>
        </w:rPr>
        <w:t>Borrower’s Net Worth</w:t>
      </w:r>
      <w:r>
        <w:rPr>
          <w:rFonts w:ascii="Times New Roman" w:hAnsi="Times New Roman"/>
          <w:sz w:val="20"/>
        </w:rPr>
        <w:t xml:space="preserve">. The Borrower shall not permit the Borrower’s Net Worth to be less than the Required Capital Amount. </w:t>
      </w:r>
    </w:p>
    <w:p>
      <w:pPr>
        <w:pStyle w:val="TextBody"/>
        <w:bidi w:val="0"/>
        <w:spacing w:before="12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(x) </w:t>
      </w:r>
      <w:r>
        <w:rPr>
          <w:rFonts w:ascii="Times New Roman" w:hAnsi="Times New Roman"/>
          <w:b/>
          <w:color w:val="0000FF"/>
          <w:sz w:val="20"/>
          <w:u w:val="single"/>
          <w:bdr w:val="double" w:sz="2" w:space="1" w:color="000000"/>
        </w:rPr>
        <w:t>Taxes</w:t>
      </w:r>
      <w:r>
        <w:rPr>
          <w:rFonts w:ascii="Times New Roman" w:hAnsi="Times New Roman"/>
          <w:color w:val="0000FF"/>
          <w:sz w:val="20"/>
          <w:u w:val="single"/>
          <w:bdr w:val="double" w:sz="2" w:space="1" w:color="00000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 xml:space="preserve">(i) </w:t>
      </w:r>
      <w:r>
        <w:rPr>
          <w:rFonts w:ascii="Times New Roman" w:hAnsi="Times New Roman"/>
          <w:strike/>
          <w:color w:val="FF0000"/>
          <w:sz w:val="20"/>
        </w:rPr>
        <w:t>(x) </w:t>
      </w:r>
      <w:r>
        <w:rPr>
          <w:rFonts w:ascii="Times New Roman" w:hAnsi="Times New Roman"/>
          <w:b/>
          <w:strike/>
          <w:color w:val="FF0000"/>
          <w:sz w:val="20"/>
          <w:u w:val="single"/>
        </w:rPr>
        <w:t>Taxes</w:t>
      </w:r>
      <w:r>
        <w:rPr>
          <w:rFonts w:ascii="Times New Roman" w:hAnsi="Times New Roman"/>
          <w:strike/>
          <w:color w:val="FF0000"/>
          <w:sz w:val="20"/>
        </w:rPr>
        <w:t xml:space="preserve">. </w:t>
      </w:r>
      <w:r>
        <w:rPr>
          <w:rFonts w:ascii="Times New Roman" w:hAnsi="Times New Roman"/>
          <w:sz w:val="20"/>
        </w:rPr>
        <w:t xml:space="preserve">The Borrower will (i) timely file all tax returns (federal, state and local) required to be filed by it and (ii) pay, or cause to be paid, all taxes, assessments and other governmental charges, if any, other than taxes, assessments and other governmental charges being contested in good faith by appropriate proceedings and as to which adequate reserves have been provided in accordance with GAAP. </w:t>
      </w:r>
    </w:p>
    <w:p>
      <w:pPr>
        <w:pStyle w:val="TextBody"/>
        <w:bidi w:val="0"/>
        <w:spacing w:before="12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(ii) If the Borrower is required by any applicable Law to make any deductions and withholdings for or on account of Tax (a “Tax Deduction”) for any payment made by the Borrower under a Subordinated Loan, (1) the Borrower shall make any such Tax Deduction, and (2) pay the full amount deducted or withheld to the relevant Governmental Authority within the time allowed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(y) </w:t>
      </w:r>
      <w:r>
        <w:rPr>
          <w:rFonts w:ascii="Times New Roman" w:hAnsi="Times New Roman"/>
          <w:b/>
          <w:sz w:val="20"/>
          <w:u w:val="single"/>
        </w:rPr>
        <w:t>Borrower’s Tax Status</w:t>
      </w:r>
      <w:r>
        <w:rPr>
          <w:rFonts w:ascii="Times New Roman" w:hAnsi="Times New Roman"/>
          <w:sz w:val="20"/>
        </w:rPr>
        <w:t xml:space="preserve">. The Borrower will remain a wholly-owned subsidiary of a United States person (within the meaning of Section 7701(a)(30) of the Code). The Borrower shall not (i) be treated other than as a “disregarded entity” within the meaning of U.S. Treasury Regulation § 301.7701-3 that is wholly owned by an entity that is (I) a “United States person” within the meaning of Section 7701(a)(30) of the Code for U.S. federal income tax purposes and (II) a “qualified person” under Article 23 of the U.S.-U.K. Treaty, (ii) become subject to any Tax in any jurisdiction outside the United States or (iii) become subject to any material tax imposed by a state or local taxing authority. </w:t>
      </w:r>
    </w:p>
    <w:p>
      <w:pPr>
        <w:pStyle w:val="TextBody"/>
        <w:bidi w:val="0"/>
        <w:spacing w:before="120" w:after="0"/>
        <w:jc w:val="left"/>
        <w:rPr>
          <w:rFonts w:ascii="Times New Roman" w:hAnsi="Times New Roman"/>
          <w:sz w:val="20"/>
        </w:rPr>
      </w:pPr>
      <w:r>
        <w:rPr>
          <w:rFonts w:ascii="Times New Roman" w:hAnsi="Times New Roman"/>
          <w:sz w:val="20"/>
        </w:rPr>
        <w:t xml:space="preserve">(z) </w:t>
      </w:r>
      <w:r>
        <w:rPr>
          <w:rFonts w:ascii="Times New Roman" w:hAnsi="Times New Roman"/>
          <w:b/>
          <w:sz w:val="20"/>
          <w:u w:val="single"/>
        </w:rPr>
        <w:t>Liquidity Coverage Ratio</w:t>
      </w:r>
      <w:r>
        <w:rPr>
          <w:rFonts w:ascii="Times New Roman" w:hAnsi="Times New Roman"/>
          <w:sz w:val="20"/>
        </w:rPr>
        <w:t xml:space="preserve">. The Borrower shall not issue any LCR Security. </w:t>
      </w:r>
    </w:p>
    <w:p>
      <w:pPr>
        <w:pStyle w:val="TextBody"/>
        <w:bidi w:val="0"/>
        <w:spacing w:before="120" w:after="0"/>
        <w:jc w:val="left"/>
        <w:rPr>
          <w:rFonts w:ascii="Times New Roman" w:hAnsi="Times New Roman"/>
          <w:sz w:val="20"/>
        </w:rPr>
      </w:pPr>
      <w:r>
        <w:rPr>
          <w:rFonts w:ascii="Times New Roman" w:hAnsi="Times New Roman"/>
          <w:sz w:val="20"/>
        </w:rPr>
        <w:t xml:space="preserve">(aa) </w:t>
      </w:r>
      <w:r>
        <w:rPr>
          <w:rFonts w:ascii="Times New Roman" w:hAnsi="Times New Roman"/>
          <w:b/>
          <w:sz w:val="20"/>
          <w:u w:val="single"/>
        </w:rPr>
        <w:t>Certificate of Beneficial Ownership and Other Additional Information</w:t>
      </w:r>
      <w:r>
        <w:rPr>
          <w:rFonts w:ascii="Times New Roman" w:hAnsi="Times New Roman"/>
          <w:sz w:val="20"/>
        </w:rPr>
        <w:t xml:space="preserve">. Promptly following any change that would result in a change to the status as an excluded Legal Entity Customer under the Beneficial Ownership Rule, the Borrower shall execute and deliver to the Administrative Agent and the Lenders a Certification of Beneficial Owner(s) complying with the Beneficial Ownership Rule, in form and substance reasonably acceptable to the Administrative Agent and any Lender. </w:t>
      </w:r>
    </w:p>
    <w:p>
      <w:pPr>
        <w:pStyle w:val="TextBody"/>
        <w:bidi w:val="0"/>
        <w:spacing w:before="120" w:after="0"/>
        <w:jc w:val="left"/>
        <w:rPr>
          <w:rFonts w:ascii="Times New Roman" w:hAnsi="Times New Roman"/>
          <w:sz w:val="20"/>
        </w:rPr>
      </w:pPr>
      <w:r>
        <w:rPr>
          <w:rFonts w:ascii="Times New Roman" w:hAnsi="Times New Roman"/>
          <w:sz w:val="20"/>
        </w:rPr>
        <w:t xml:space="preserve">(bb) </w:t>
      </w:r>
      <w:r>
        <w:rPr>
          <w:rFonts w:ascii="Times New Roman" w:hAnsi="Times New Roman"/>
          <w:b/>
          <w:sz w:val="20"/>
          <w:u w:val="single"/>
        </w:rPr>
        <w:t>Linked Accounts</w:t>
      </w:r>
      <w:r>
        <w:rPr>
          <w:rFonts w:ascii="Times New Roman" w:hAnsi="Times New Roman"/>
          <w:sz w:val="20"/>
        </w:rPr>
        <w:t xml:space="preserve">. Except for any Permitted Linked Account, the Borrower shall not permit any Linked Account to exist with respect to any Collection Account;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at any time during the continuance of an Event of Default or Financial Covenant Event, the Borrower shall, if so instructed by the Administrative Agent (in its sole discretion), cause each Permitted Linked Account to cease being a “Linked Account” promptly, but not later than two (2) Business Days following the Borrower’s or each Servicer’s receipt of such instruction.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7.02 </w:t>
      </w:r>
      <w:r>
        <w:rPr>
          <w:rFonts w:ascii="Times New Roman" w:hAnsi="Times New Roman"/>
          <w:b/>
          <w:sz w:val="20"/>
          <w:u w:val="single"/>
        </w:rPr>
        <w:t>Covenants of the Servicers</w:t>
      </w:r>
      <w:r>
        <w:rPr>
          <w:rFonts w:ascii="Times New Roman" w:hAnsi="Times New Roman"/>
          <w:sz w:val="20"/>
        </w:rPr>
        <w:t xml:space="preserve">. At all times from the Closing Date </w:t>
      </w:r>
      <w:r>
        <w:rPr>
          <w:rFonts w:ascii="Times New Roman" w:hAnsi="Times New Roman"/>
          <w:color w:val="0000FF"/>
          <w:sz w:val="20"/>
          <w:u w:val="single"/>
          <w:bdr w:val="double" w:sz="2" w:space="1" w:color="000000"/>
        </w:rPr>
        <w:t xml:space="preserve">(or such later date on which such Person became a party to this Agreement) </w:t>
      </w:r>
      <w:r>
        <w:rPr>
          <w:rFonts w:ascii="Times New Roman" w:hAnsi="Times New Roman"/>
          <w:sz w:val="20"/>
        </w:rPr>
        <w:t xml:space="preserve">until the Final Payout Date: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u w:val="single"/>
        </w:rPr>
        <w:t>Existence</w:t>
      </w:r>
      <w:r>
        <w:rPr>
          <w:rFonts w:ascii="Times New Roman" w:hAnsi="Times New Roman"/>
          <w:sz w:val="20"/>
        </w:rPr>
        <w:t xml:space="preserve">. Each Servicer shall keep in full force and effect its existence and rights as a corporation or other entity under the laws of </w:t>
      </w:r>
      <w:r>
        <w:rPr>
          <w:rFonts w:ascii="Times New Roman" w:hAnsi="Times New Roman"/>
          <w:strike/>
          <w:color w:val="FF0000"/>
          <w:sz w:val="20"/>
        </w:rPr>
        <w:t>the State of Delaware</w:t>
      </w:r>
      <w:r>
        <w:rPr>
          <w:rFonts w:ascii="Times New Roman" w:hAnsi="Times New Roman"/>
          <w:color w:val="0000FF"/>
          <w:sz w:val="20"/>
          <w:u w:val="single"/>
          <w:bdr w:val="double" w:sz="2" w:space="1" w:color="000000"/>
        </w:rPr>
        <w:t>its jurisdiction of formation, organization or incorporation</w:t>
      </w:r>
      <w:r>
        <w:rPr>
          <w:rFonts w:ascii="Times New Roman" w:hAnsi="Times New Roman"/>
          <w:sz w:val="20"/>
        </w:rPr>
        <w:t xml:space="preserve">. Each Servicer shall obtain and preserve its qualification to do business in each jurisdiction in which the conduct of its business or the servicing of the Pool Receivables as required by this Agreement requires such qualification, except where the failure to do so could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u w:val="single"/>
        </w:rPr>
        <w:t>Financial Reporting</w:t>
      </w:r>
      <w:r>
        <w:rPr>
          <w:rFonts w:ascii="Times New Roman" w:hAnsi="Times New Roman"/>
          <w:sz w:val="20"/>
        </w:rPr>
        <w:t xml:space="preserve">. Each Servicer will maintain a system of accounting established and administered in accordance with GAAP, and each Servicer shall furnish to the Administrative Agent and each Lender each of the financial statements, certifications, reports (including Pool Reports), filings and other documents and information required to be delivered by the Borrower pursuant to </w:t>
      </w:r>
      <w:r>
        <w:rPr>
          <w:rFonts w:ascii="Times New Roman" w:hAnsi="Times New Roman"/>
          <w:sz w:val="20"/>
          <w:u w:val="single"/>
        </w:rPr>
        <w:t>Section 7.01(c)</w:t>
      </w:r>
      <w:r>
        <w:rPr>
          <w:rFonts w:ascii="Times New Roman" w:hAnsi="Times New Roman"/>
          <w:sz w:val="20"/>
        </w:rPr>
        <w:t xml:space="preserve"> when due to be delivered by the Borrower thereunder.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u w:val="single"/>
        </w:rPr>
        <w:t>Notices</w:t>
      </w:r>
      <w:r>
        <w:rPr>
          <w:rFonts w:ascii="Times New Roman" w:hAnsi="Times New Roman"/>
          <w:sz w:val="20"/>
        </w:rPr>
        <w:t xml:space="preserve">. Each Servicer will notify the Administrative Agent and each Lender in writing of any of the following events promptly upon (but in no event later than three (3) Business Days after, unless otherwise specified below) an Authorized Officer or other officer learning of the occurrence thereof, with such notice describing the same, and if applicable, the steps being taken by the Person(s) affected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b/>
          <w:sz w:val="20"/>
          <w:u w:val="single"/>
        </w:rPr>
        <w:t>Notice of Events of Default or Potential Defaults</w:t>
      </w:r>
      <w:r>
        <w:rPr>
          <w:rFonts w:ascii="Times New Roman" w:hAnsi="Times New Roman"/>
          <w:sz w:val="20"/>
        </w:rPr>
        <w:t xml:space="preserve">. A statement of an Authorized Officer of each Servicer setting forth details of any Event of Default, Financial Covenant Event or Potential Default that has occurred and is continuing and the action which each Servicer proposes to take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b/>
          <w:sz w:val="20"/>
          <w:u w:val="single"/>
        </w:rPr>
        <w:t>Representations and Warranties</w:t>
      </w:r>
      <w:r>
        <w:rPr>
          <w:rFonts w:ascii="Times New Roman" w:hAnsi="Times New Roman"/>
          <w:sz w:val="20"/>
        </w:rPr>
        <w:t xml:space="preserve">. The failure of any representation or warranty made or deemed made by each Servicer under this Agreement or any other Transaction Document to be true and correct in any material respect when made.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b/>
          <w:sz w:val="20"/>
          <w:u w:val="single"/>
        </w:rPr>
        <w:t>Litigation</w:t>
      </w:r>
      <w:r>
        <w:rPr>
          <w:rFonts w:ascii="Times New Roman" w:hAnsi="Times New Roman"/>
          <w:sz w:val="20"/>
        </w:rPr>
        <w:t xml:space="preserve">. The institution of any litigation, arbitration proceeding or governmental proceeding which would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b/>
          <w:sz w:val="20"/>
          <w:u w:val="single"/>
        </w:rPr>
        <w:t>Adverse Claim</w:t>
      </w:r>
      <w:r>
        <w:rPr>
          <w:rFonts w:ascii="Times New Roman" w:hAnsi="Times New Roman"/>
          <w:i/>
          <w:sz w:val="20"/>
        </w:rPr>
        <w:t xml:space="preserve">. </w:t>
      </w:r>
      <w:r>
        <w:rPr>
          <w:rFonts w:ascii="Times New Roman" w:hAnsi="Times New Roman"/>
          <w:sz w:val="20"/>
        </w:rPr>
        <w:t xml:space="preserve">(A) Any Person shall obtain an Adverse Claim upon the Collateral or any portion thereof, (B) any Person other than the Borrower, the Servicers or the Administrative Agent shall obtain any rights or direct any action with respect to any Collection Account (or related Lock-Box) or (C) any Obligor shall receive any change in payment instructions with respect to Pool Receivable(s) from a Person other than each Servicer or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b/>
          <w:sz w:val="20"/>
          <w:u w:val="single"/>
        </w:rPr>
        <w:t>Name Changes</w:t>
      </w:r>
      <w:r>
        <w:rPr>
          <w:rFonts w:ascii="Times New Roman" w:hAnsi="Times New Roman"/>
          <w:sz w:val="20"/>
        </w:rPr>
        <w:t xml:space="preserve">. At least 10 days before any change in any Originator’s or the Borrower’s name, jurisdiction of organization or any other change requiring the amendment of UCC financing statements.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b/>
          <w:sz w:val="20"/>
          <w:u w:val="single"/>
        </w:rPr>
        <w:t>Change in Accountants or Accounting Policy</w:t>
      </w:r>
      <w:r>
        <w:rPr>
          <w:rFonts w:ascii="Times New Roman" w:hAnsi="Times New Roman"/>
          <w:sz w:val="20"/>
        </w:rPr>
        <w:t xml:space="preserve">. Any change in (i) the external accountants of any Borrower-Related Party, (ii) any accounting policy of the Borrower or (iii) any material accounting policy of any Originator that is relevant to the transactions contemplated by this Agreement or any other Transaction Document (it being understood that any change to the manner in which any Originator accounts for the Pool Receivables shall be deemed “material” for such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w:t>
      </w:r>
      <w:r>
        <w:rPr>
          <w:rFonts w:ascii="Times New Roman" w:hAnsi="Times New Roman"/>
          <w:b/>
          <w:sz w:val="20"/>
          <w:u w:val="single"/>
        </w:rPr>
        <w:t>Transfer Termination Event</w:t>
      </w:r>
      <w:r>
        <w:rPr>
          <w:rFonts w:ascii="Times New Roman" w:hAnsi="Times New Roman"/>
          <w:sz w:val="20"/>
        </w:rPr>
        <w:t xml:space="preserve">. The occurrence of any Transfer Termination Event. </w:t>
      </w:r>
    </w:p>
    <w:p>
      <w:pPr>
        <w:pStyle w:val="TextBody"/>
        <w:bidi w:val="0"/>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b/>
          <w:sz w:val="20"/>
          <w:u w:val="single"/>
        </w:rPr>
        <w:t>Material Adverse Effect</w:t>
      </w:r>
      <w:r>
        <w:rPr>
          <w:rFonts w:ascii="Times New Roman" w:hAnsi="Times New Roman"/>
          <w:sz w:val="20"/>
        </w:rPr>
        <w:t xml:space="preserve">. Promptly after the occurrence thereof, notice of any event that gives rise to a Material Adverse Effect with respect to the Borrower, the Servicers, the Performance Guarantor or any Originator. </w:t>
      </w:r>
    </w:p>
    <w:p>
      <w:pPr>
        <w:pStyle w:val="TextBody"/>
        <w:bidi w:val="0"/>
        <w:spacing w:before="120" w:after="0"/>
        <w:jc w:val="left"/>
        <w:rPr>
          <w:rFonts w:ascii="Times New Roman" w:hAnsi="Times New Roman"/>
          <w:sz w:val="20"/>
        </w:rPr>
      </w:pPr>
      <w:r>
        <w:rPr>
          <w:rFonts w:ascii="Times New Roman" w:hAnsi="Times New Roman"/>
          <w:sz w:val="20"/>
        </w:rPr>
        <w:t xml:space="preserve">(ix) </w:t>
      </w:r>
      <w:r>
        <w:rPr>
          <w:rFonts w:ascii="Times New Roman" w:hAnsi="Times New Roman"/>
          <w:b/>
          <w:sz w:val="20"/>
          <w:u w:val="single"/>
        </w:rPr>
        <w:t>ERISA Event</w:t>
      </w:r>
      <w:r>
        <w:rPr>
          <w:rFonts w:ascii="Times New Roman" w:hAnsi="Times New Roman"/>
          <w:sz w:val="20"/>
        </w:rPr>
        <w:t xml:space="preserve">. Immediately upon the occurrence of any ERISA Event, notice in writing setting forth the details thereof and the action which the Borrower-Related Parties propose to take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b/>
          <w:sz w:val="20"/>
          <w:u w:val="single"/>
        </w:rPr>
        <w:t>Material Indebtedness</w:t>
      </w:r>
      <w:r>
        <w:rPr>
          <w:rFonts w:ascii="Times New Roman" w:hAnsi="Times New Roman"/>
          <w:sz w:val="20"/>
        </w:rPr>
        <w:t xml:space="preserve">. The incurrence of any Material Indebtedness by any Borrower-Related Party or any amendments to or modifications of the terms thereof.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sz w:val="20"/>
          <w:u w:val="single"/>
        </w:rPr>
        <w:t>Conduct of Business</w:t>
      </w:r>
      <w:r>
        <w:rPr>
          <w:rFonts w:ascii="Times New Roman" w:hAnsi="Times New Roman"/>
          <w:sz w:val="20"/>
        </w:rPr>
        <w:t>. Each Servicer will carry on and conduct its business in substantially the same manner and in substantially the same fields of enterprise as it is presently conducted, and will do all things necessary to remain duly organized</w:t>
      </w:r>
      <w:r>
        <w:rPr>
          <w:rFonts w:ascii="Times New Roman" w:hAnsi="Times New Roman"/>
          <w:color w:val="0000FF"/>
          <w:sz w:val="20"/>
          <w:u w:val="single"/>
          <w:bdr w:val="double" w:sz="2" w:space="1" w:color="000000"/>
        </w:rPr>
        <w:t xml:space="preserve"> (or</w:t>
      </w:r>
      <w:r>
        <w:rPr>
          <w:rFonts w:ascii="Times New Roman" w:hAnsi="Times New Roman"/>
          <w:sz w:val="20"/>
        </w:rPr>
        <w:t xml:space="preserve">, </w:t>
      </w:r>
      <w:r>
        <w:rPr>
          <w:rFonts w:ascii="Times New Roman" w:hAnsi="Times New Roman"/>
          <w:color w:val="0000FF"/>
          <w:sz w:val="20"/>
          <w:u w:val="single"/>
          <w:bdr w:val="double" w:sz="2" w:space="1" w:color="000000"/>
        </w:rPr>
        <w:t xml:space="preserve">as applicable, incorporated) and </w:t>
      </w:r>
      <w:r>
        <w:rPr>
          <w:rFonts w:ascii="Times New Roman" w:hAnsi="Times New Roman"/>
          <w:sz w:val="20"/>
        </w:rPr>
        <w:t>validly existing and</w:t>
      </w:r>
      <w:r>
        <w:rPr>
          <w:rFonts w:ascii="Times New Roman" w:hAnsi="Times New Roman"/>
          <w:color w:val="0000FF"/>
          <w:sz w:val="20"/>
          <w:u w:val="single"/>
          <w:bdr w:val="double" w:sz="2" w:space="1" w:color="000000"/>
        </w:rPr>
        <w:t>, where such concept is applicable,</w:t>
      </w:r>
      <w:r>
        <w:rPr>
          <w:rFonts w:ascii="Times New Roman" w:hAnsi="Times New Roman"/>
          <w:sz w:val="20"/>
        </w:rPr>
        <w:t xml:space="preserve"> in good standing </w:t>
      </w:r>
      <w:r>
        <w:rPr>
          <w:rFonts w:ascii="Times New Roman" w:hAnsi="Times New Roman"/>
          <w:strike/>
          <w:color w:val="FF0000"/>
          <w:sz w:val="20"/>
        </w:rPr>
        <w:t>as a domestic corporation in</w:t>
      </w:r>
      <w:r>
        <w:rPr>
          <w:rFonts w:ascii="Times New Roman" w:hAnsi="Times New Roman"/>
          <w:color w:val="0000FF"/>
          <w:sz w:val="20"/>
          <w:u w:val="single"/>
          <w:bdr w:val="double" w:sz="2" w:space="1" w:color="000000"/>
        </w:rPr>
        <w:t>under the laws of</w:t>
      </w:r>
      <w:r>
        <w:rPr>
          <w:rFonts w:ascii="Times New Roman" w:hAnsi="Times New Roman"/>
          <w:sz w:val="20"/>
        </w:rPr>
        <w:t xml:space="preserve"> its jurisdiction of </w:t>
      </w:r>
      <w:r>
        <w:rPr>
          <w:rFonts w:ascii="Times New Roman" w:hAnsi="Times New Roman"/>
          <w:strike/>
          <w:color w:val="FF0000"/>
          <w:sz w:val="20"/>
        </w:rPr>
        <w:t>organization</w:t>
      </w:r>
      <w:r>
        <w:rPr>
          <w:rFonts w:ascii="Times New Roman" w:hAnsi="Times New Roman"/>
          <w:color w:val="0000FF"/>
          <w:sz w:val="20"/>
          <w:u w:val="single"/>
          <w:bdr w:val="double" w:sz="2" w:space="1" w:color="000000"/>
        </w:rPr>
        <w:t>organisation or incorporation</w:t>
      </w:r>
      <w:r>
        <w:rPr>
          <w:rFonts w:ascii="Times New Roman" w:hAnsi="Times New Roman"/>
          <w:sz w:val="20"/>
        </w:rPr>
        <w:t xml:space="preserve"> and maintain all requisite authority to conduct its business in each jurisdiction in which its business is conducted if the failure to have such authority would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b/>
          <w:sz w:val="20"/>
          <w:u w:val="single"/>
        </w:rPr>
        <w:t>Compliance with Laws</w:t>
      </w:r>
      <w:r>
        <w:rPr>
          <w:rFonts w:ascii="Times New Roman" w:hAnsi="Times New Roman"/>
          <w:sz w:val="20"/>
        </w:rPr>
        <w:t xml:space="preserve">. Each Servicer will comply with all applicable Laws to which it may be subject if the failure to comply would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b/>
          <w:sz w:val="20"/>
          <w:u w:val="single"/>
        </w:rPr>
        <w:t>Furnishing of Information and Inspection of Receivables</w:t>
      </w:r>
      <w:r>
        <w:rPr>
          <w:rFonts w:ascii="Times New Roman" w:hAnsi="Times New Roman"/>
          <w:sz w:val="20"/>
        </w:rPr>
        <w:t xml:space="preserve">. Each Servicer will furnish or cause to be furnished to the Administrative Agent and each Lender from time to time such information with respect to the Pool Receivables and the other Collateral as the Administrative Agent or any Lender may reasonably request. Each Servicer will, at each Servicer’s expense, during regular business hours with prior written notice, (i) permit the Administrative Agent and each Lender or their respective agents or representatives to (A) examine and make copies of and abstracts from all books and records relating to the Pool Receivables or other Collateral, (B) visit the offices and properties of each Servicer for the purpose of examining such books and records and (C) discuss matters relating to the Pool Receivables, the other Collateral or each Servicer’s performance hereunder or under the other Transaction Documents to which it is a party with any of the officers, directors, employees or independent public accountants of each Servicer (provided that representatives of each Servicer are present during such discussions) having knowledge of such matters and (ii) without limiting the provisions of </w:t>
      </w:r>
      <w:r>
        <w:rPr>
          <w:rFonts w:ascii="Times New Roman" w:hAnsi="Times New Roman"/>
          <w:sz w:val="20"/>
          <w:u w:val="single"/>
        </w:rPr>
        <w:t>clause (i)</w:t>
      </w:r>
      <w:r>
        <w:rPr>
          <w:rFonts w:ascii="Times New Roman" w:hAnsi="Times New Roman"/>
          <w:sz w:val="20"/>
        </w:rPr>
        <w:t xml:space="preserve"> above, during regular business hours, at each Servicer’s expense, upon prior written notice from the Administrative Agent, permit certified public accountants or other auditors acceptable to the Administrative Agent to conduct a review of its books and records with respect to the Pool Receivables and other Collateral; </w:t>
      </w:r>
      <w:r>
        <w:rPr>
          <w:rFonts w:ascii="Times New Roman" w:hAnsi="Times New Roman"/>
          <w:sz w:val="20"/>
          <w:u w:val="single"/>
        </w:rPr>
        <w:t>provided</w:t>
      </w:r>
      <w:r>
        <w:rPr>
          <w:rFonts w:ascii="Times New Roman" w:hAnsi="Times New Roman"/>
          <w:sz w:val="20"/>
        </w:rPr>
        <w:t xml:space="preserve">, that each Servicer shall be required to reimburse the Administrative Agent for only one (1) such review pursuant to </w:t>
      </w:r>
      <w:r>
        <w:rPr>
          <w:rFonts w:ascii="Times New Roman" w:hAnsi="Times New Roman"/>
          <w:sz w:val="20"/>
          <w:u w:val="single"/>
        </w:rPr>
        <w:t>clause (ii)</w:t>
      </w:r>
      <w:r>
        <w:rPr>
          <w:rFonts w:ascii="Times New Roman" w:hAnsi="Times New Roman"/>
          <w:sz w:val="20"/>
        </w:rPr>
        <w:t xml:space="preserve"> above in any twelve-month period unless an Event of Default or Financial Covenant Event has occurred and is continuing.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b/>
          <w:sz w:val="20"/>
          <w:u w:val="single"/>
        </w:rPr>
        <w:t>Payments on Receivables, Collection Accounts</w:t>
      </w:r>
      <w:r>
        <w:rPr>
          <w:rFonts w:ascii="Times New Roman" w:hAnsi="Times New Roman"/>
          <w:sz w:val="20"/>
        </w:rPr>
        <w:t xml:space="preserve">. Each Servicer will at all times, instruct all Obligors to deliver payments on the Pool Receivables to (A) if the applicable Receivables are settled through a Clearing House, to the applicable Settlement Account and (B) if the applicable Receivables are not settled through a Clearing House, to a Collection Account or a Lock-Box. Each Servicer shall cause any Collections received in the Settlement Account to be swept within one (1) Business Day to a Collection Account pursuant to standing instructions to the Settlement Agent; </w:t>
      </w:r>
      <w:r>
        <w:rPr>
          <w:rFonts w:ascii="Times New Roman" w:hAnsi="Times New Roman"/>
          <w:sz w:val="20"/>
          <w:u w:val="single"/>
        </w:rPr>
        <w:t>provided</w:t>
      </w:r>
      <w:r>
        <w:rPr>
          <w:rFonts w:ascii="Times New Roman" w:hAnsi="Times New Roman"/>
          <w:sz w:val="20"/>
        </w:rPr>
        <w:t xml:space="preserve"> that the Administrative Agent, upon written notice to the Servicer, may require the Borrower to establish one or more Collection Accounts at PNC and sweep all Collections received in the Settlement Accounts to such Collection Account(s) maintained at PNC. Each Servicer will, at all times, maintain such books and records necessary to identify Collections received from time to time on Pool Receivables and to segregate such Collections from other property of each Servicer and the Originators. If any payments on the Pool Receivables or other Collections are received by the Borrower, a Servicer or an Originator, it shall hold such payments in trust for the benefit of the Administrative Agent, the Lenders and the other Secured Parties and promptly (but in any event within one (1) Business Day after receipt) remit such funds into a Collection Account. Each Servicer will cause each Collection Account Bank to comply with the terms of each applicable Account Control</w:t>
      </w:r>
      <w:r>
        <w:rPr>
          <w:rFonts w:ascii="Times New Roman" w:hAnsi="Times New Roman"/>
          <w:color w:val="0000FF"/>
          <w:sz w:val="20"/>
          <w:u w:val="single"/>
          <w:bdr w:val="double" w:sz="2" w:space="1" w:color="000000"/>
        </w:rPr>
        <w:t xml:space="preserve"> Agreement</w:t>
      </w:r>
      <w:r>
        <w:rPr>
          <w:rFonts w:ascii="Times New Roman" w:hAnsi="Times New Roman"/>
          <w:sz w:val="20"/>
        </w:rPr>
        <w:t xml:space="preserve">. Each Servicer shall not permit funds other than Collections on Pool Receivables and other Collateral to be deposited into any Collection Account; </w:t>
      </w:r>
      <w:r>
        <w:rPr>
          <w:rFonts w:ascii="Times New Roman" w:hAnsi="Times New Roman"/>
          <w:sz w:val="20"/>
          <w:u w:val="single"/>
        </w:rPr>
        <w:t>provided</w:t>
      </w:r>
      <w:r>
        <w:rPr>
          <w:rFonts w:ascii="Times New Roman" w:hAnsi="Times New Roman"/>
          <w:sz w:val="20"/>
        </w:rPr>
        <w:t xml:space="preserve">, that the Servicer may permit proceeds of </w:t>
      </w:r>
      <w:r>
        <w:rPr>
          <w:rFonts w:ascii="Times New Roman" w:hAnsi="Times New Roman"/>
          <w:strike/>
          <w:color w:val="FF0000"/>
          <w:sz w:val="20"/>
        </w:rPr>
        <w:t xml:space="preserve">AirCentre Receivables, GetThere Receivables, IHS Receivables, </w:t>
      </w:r>
      <w:r>
        <w:rPr>
          <w:rFonts w:ascii="Times New Roman" w:hAnsi="Times New Roman"/>
          <w:sz w:val="20"/>
        </w:rPr>
        <w:t xml:space="preserve">Sabre HS Receivables, Subscriber Receivables and Restricted Non-U.S. Law Receivables to be deposited into Lock-Box Accounts so long as each of the following conditions are met: (i) the Servicer shall, and shall cause its Subsidiaries to, maintain a system of accounting that enables it to at all times determine the amount of Collections and the amount of proceeds of </w:t>
      </w:r>
      <w:r>
        <w:rPr>
          <w:rFonts w:ascii="Times New Roman" w:hAnsi="Times New Roman"/>
          <w:strike/>
          <w:color w:val="FF0000"/>
          <w:sz w:val="20"/>
        </w:rPr>
        <w:t xml:space="preserve">AirCentre Receivables, GetThere Receivables, IHS Receivables, </w:t>
      </w:r>
      <w:r>
        <w:rPr>
          <w:rFonts w:ascii="Times New Roman" w:hAnsi="Times New Roman"/>
          <w:sz w:val="20"/>
        </w:rPr>
        <w:t xml:space="preserve">Sabre HS Receivables, Subscriber Receivables and Restricted Non-U.S. Law Receivables, in each case, on deposit in the Collection Accounts, (ii) the Servicer shall remove any such proceeds of </w:t>
      </w:r>
      <w:r>
        <w:rPr>
          <w:rFonts w:ascii="Times New Roman" w:hAnsi="Times New Roman"/>
          <w:strike/>
          <w:color w:val="FF0000"/>
          <w:sz w:val="20"/>
        </w:rPr>
        <w:t xml:space="preserve">AirCentre Receivables, GetThere Receivables, IHS Receivables, </w:t>
      </w:r>
      <w:r>
        <w:rPr>
          <w:rFonts w:ascii="Times New Roman" w:hAnsi="Times New Roman"/>
          <w:sz w:val="20"/>
        </w:rPr>
        <w:t>Sabre HS Receivables, Subscriber Receivables and Restricted Non-U.S. Law Receivables from Collection Accounts within two (2) Business Days of receipt thereof, (iii) if proceeds of Subscriber Receivables in excess of $10,000,000 are deposited in the Collection Accounts in any calendar month, within 10 Business Days of PNC’s written request therefor, the Servicer shall direct (and use commercially reasonable efforts to cause) account debtors with respect to Subscriber Receivables to deposit the proceeds thereof in deposit accounts other than the Collection Accounts; (iv) </w:t>
      </w:r>
      <w:r>
        <w:rPr>
          <w:rFonts w:ascii="Times New Roman" w:hAnsi="Times New Roman"/>
          <w:strike/>
          <w:color w:val="FF0000"/>
          <w:sz w:val="20"/>
        </w:rPr>
        <w:t>no account debtors with respect to AirCentre Receivables may be directed to deposit proceeds thereof to any Collection Account after February 28, 2024, other than account debtors who have not yet consented to the assignment of their related customer contract to the purchaser of the related business, it being understood that the applicable Originators are working in good faith pursuant to their obligations to such purchaser to obtain such consents from such account debtors; (v) no account debtors with respect to GetThere Receivables may be directed to deposit proceeds thereof to any Collection Account after July 18, 2026, other than account debtors who have not yet consented to the assignment of their related customer contract to the purchaser of the related business, it being understood that the applicable Originators are working in good faith pursuant to their obligations to such purchaser to obtain such consents from such account debtors</w:t>
      </w:r>
      <w:r>
        <w:rPr>
          <w:rFonts w:ascii="Times New Roman" w:hAnsi="Times New Roman"/>
          <w:color w:val="0000FF"/>
          <w:sz w:val="20"/>
          <w:u w:val="single"/>
          <w:bdr w:val="double" w:sz="2" w:space="1" w:color="000000"/>
        </w:rPr>
        <w:t>[reserved]; (v) [reserved]</w:t>
      </w:r>
      <w:r>
        <w:rPr>
          <w:rFonts w:ascii="Times New Roman" w:hAnsi="Times New Roman"/>
          <w:sz w:val="20"/>
        </w:rPr>
        <w:t xml:space="preserve">; and (vi) no account debtors with respect to </w:t>
      </w:r>
      <w:r>
        <w:rPr>
          <w:rFonts w:ascii="Times New Roman" w:hAnsi="Times New Roman"/>
          <w:strike/>
          <w:color w:val="FF0000"/>
          <w:sz w:val="20"/>
        </w:rPr>
        <w:t xml:space="preserve">IHS Receivables and </w:t>
      </w:r>
      <w:r>
        <w:rPr>
          <w:rFonts w:ascii="Times New Roman" w:hAnsi="Times New Roman"/>
          <w:sz w:val="20"/>
        </w:rPr>
        <w:t xml:space="preserve">Sabre HS Receivables may be directed to deposit proceeds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any Collection Account after July 3, 2026, other than account debtors who have not yet consented to the assignment of their related customer contract to the purchaser of the related business, it being understood that the applicable Originators are working in good faith pursuant to their obligations to such purchaser to obtain such consents from such account debtors. If such funds are nevertheless deposited into any Collection Account, the Borrower (or the U.S. Servicer on its behalf) will within two (2) Business Days identify and transfer such funds to the appropriate Person entitled to such funds. The Servicers will not, and will not permit the Borrower, any Originator or any other Person to commingle Collections or other funds to which the Administrative Agent, any Lender or any other Secured Party is entitled, with any other funds except as set forth elsewhere in this Section 7.02(g). Each Servicer shall only add a Collection Account (or a related Lock-Box), or a Collection Account Bank to those listed on </w:t>
      </w:r>
      <w:r>
        <w:rPr>
          <w:rFonts w:ascii="Times New Roman" w:hAnsi="Times New Roman"/>
          <w:sz w:val="20"/>
          <w:u w:val="single"/>
        </w:rPr>
        <w:t>Schedule II</w:t>
      </w:r>
      <w:r>
        <w:rPr>
          <w:rFonts w:ascii="Times New Roman" w:hAnsi="Times New Roman"/>
          <w:sz w:val="20"/>
        </w:rPr>
        <w:t xml:space="preserve"> to this Agreement, if the Administrative Agent has received notice of such addition and an executed and acknowledged copy of an Account Control Agreement (or an amendment thereto) in form and substance acceptable to the Administrative Agent from the applicable Collection Account Bank. Each Servicer shall only terminate a Collection Account Bank or close a Collection Account (or a related Lock-Box) with the prior written consent of the Administrative Agent. Each Servicer shall ensure that no disbursements are made from any Collection Account, other than such disbursements that are made at the direction and for the account of the Borrower.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b/>
          <w:sz w:val="20"/>
          <w:u w:val="single"/>
        </w:rPr>
        <w:t>Extension or Amendment of Pool Receivables</w:t>
      </w:r>
      <w:r>
        <w:rPr>
          <w:rFonts w:ascii="Times New Roman" w:hAnsi="Times New Roman"/>
          <w:sz w:val="20"/>
        </w:rPr>
        <w:t xml:space="preserve">. Except as otherwise permitted in </w:t>
      </w:r>
      <w:r>
        <w:rPr>
          <w:rFonts w:ascii="Times New Roman" w:hAnsi="Times New Roman"/>
          <w:sz w:val="20"/>
          <w:u w:val="single"/>
        </w:rPr>
        <w:t>Section 8.02</w:t>
      </w:r>
      <w:r>
        <w:rPr>
          <w:rFonts w:ascii="Times New Roman" w:hAnsi="Times New Roman"/>
          <w:sz w:val="20"/>
        </w:rPr>
        <w:t xml:space="preserve">, The Servicers will not alter the delinquency status or adjust the Outstanding Balance or otherwise modify the terms of any Pool Receivable in any material respect, or amend, modify or waive, in any material respect, any term or condition of any related Contract. Each Servicer shall at its expense, timely and fully perform and comply in all material respects with all provisions, covenants and other promises required to be observed by it under the Contracts related to the Pool Receivables, and timely and fully comply with the Credit and Collection Policy with regard to each Pool Receivable and the related Contract.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b/>
          <w:sz w:val="20"/>
          <w:u w:val="single"/>
        </w:rPr>
        <w:t>Change in Credit and Collection Policy</w:t>
      </w:r>
      <w:r>
        <w:rPr>
          <w:rFonts w:ascii="Times New Roman" w:hAnsi="Times New Roman"/>
          <w:sz w:val="20"/>
        </w:rPr>
        <w:t xml:space="preserve">. The Servicers will not make any material change in the Credit and Collection Policy without five (5) Business Day’s prior written notice to the Administrative Agent and the Required Lenders that such changes would not reasonably be expected to have a Material Adverse Effect. Promptly following the effectiveness of any change in the Credit and Collection Policy, each Servicer will deliver a copy of the updated Credit and Collection Policy to the Administrative Agent and each Lender.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b/>
          <w:sz w:val="20"/>
          <w:u w:val="single"/>
        </w:rPr>
        <w:t>Records</w:t>
      </w:r>
      <w:r>
        <w:rPr>
          <w:rFonts w:ascii="Times New Roman" w:hAnsi="Times New Roman"/>
          <w:sz w:val="20"/>
        </w:rPr>
        <w:t xml:space="preserve">. Each Servicer will maintain and implement administrative and operating procedures (including an ability to recreate records evidencing Pool Receivables and related Contracts in the event of the destruction of the originals thereof), and keep and maintain all documents, books, records, computer tapes and disks and other information reasonably necessary or advisable for the collection of all Pool Receivables (including records adequate to permit the daily identification of each Pool Receivable and all Collections of and adjustments to each existing Pool Receivable).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b/>
          <w:sz w:val="20"/>
          <w:u w:val="single"/>
        </w:rPr>
        <w:t>Identifying of Records</w:t>
      </w:r>
      <w:r>
        <w:rPr>
          <w:rFonts w:ascii="Times New Roman" w:hAnsi="Times New Roman"/>
          <w:sz w:val="20"/>
        </w:rPr>
        <w:t xml:space="preserve">. Each Servicer shall cause its master data processing records relating to Pool Receivables and related Contracts to clearly and unambiguously indicate that the Pool Receivables have been sold or contributed by the Originators to the Borrower and pledged by the Borrower pursuant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w:t>
      </w:r>
      <w:r>
        <w:rPr>
          <w:rFonts w:ascii="Times New Roman" w:hAnsi="Times New Roman"/>
          <w:b/>
          <w:sz w:val="20"/>
          <w:u w:val="single"/>
        </w:rPr>
        <w:t>Change in Payment Instructions to Obligors</w:t>
      </w:r>
      <w:r>
        <w:rPr>
          <w:rFonts w:ascii="Times New Roman" w:hAnsi="Times New Roman"/>
          <w:sz w:val="20"/>
        </w:rPr>
        <w:t xml:space="preserve">. Each Servicer shall not (and shall not permit any Sub-Servicer to) add, replace or terminate any Collection Account (or any related Lock-Box) or make any change in its instructions to the Obligors regarding payments to be made to the Collection Accounts (or any related Lock-Box), other than any instruction to remit payments to a different Collection Account (or any related Lock-Box), unless the Administrative Agent shall have received (i) prior written notice of such addition, termination or change and (ii) a signed and acknowledged Account Control Agreement (or an amendment thereto) with respect to such new Collection Accounts (or any related Lock-Box) and the Administrative Agent shall have consented to such change in writing.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b/>
          <w:sz w:val="20"/>
          <w:u w:val="single"/>
        </w:rPr>
        <w:t>Security Interest, Etc</w:t>
      </w:r>
      <w:r>
        <w:rPr>
          <w:rFonts w:ascii="Times New Roman" w:hAnsi="Times New Roman"/>
          <w:sz w:val="20"/>
          <w:u w:val="single"/>
        </w:rPr>
        <w:t>.</w:t>
      </w:r>
      <w:r>
        <w:rPr>
          <w:rFonts w:ascii="Times New Roman" w:hAnsi="Times New Roman"/>
          <w:sz w:val="20"/>
        </w:rPr>
        <w:t xml:space="preserve"> Each Servicer shall, at its expense, take all action necessary to establish and maintain a valid and enforceable first priority perfected security interest in the Collateral, in each case free and clear of any Adverse Claim in favor of the Administrative Agent (on behalf of the Secured Parties), including taking such action to perfect, protect or more fully evidence the security interest of the Administrative Agent (on behalf of the Secured Parties) as the Administrative Agent or any Secured Party may reasonably request. In order to evidence the security interests of the Administrative Agent under this Agreement, each Servicer shall, from time to time take such action, or execute and deliver such instruments as may be necessary (including such actions as are reasonably requested by the Administrative Agent) to maintain and perfect, as a first-priority interest, the Administrative Agent’s security interest in the Receivables, Related Security and Collections. Each Servicer shall, from time to time and within the time limits established by law, prepare and present to the Administrative Agent for the Administrative Agent’s authorization and approval, all financing statements, amendments, continuations or initial financing statements in lieu of a continuation statement, or other filings necessary to continue, maintain and perfect the Administrative Agent’s security interest as a first-priority interest. The Administrative Agent’s approval of such filings shall authorize each Servicer to file such financing statements under the UCC without the signature of the Borrower, any Originator or the Administrative Agent where allowed by applicable Law. Notwithstanding anything else in the Transaction Documents to the contrary, each Servicer shall not have any authority to file a termination, partial termination, release, partial release, or any amendment that deletes the name of a debtor or excludes collateral of any such financing statements filed in connection with the Transaction Documents, without the prior written consent of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b/>
          <w:sz w:val="20"/>
          <w:u w:val="single"/>
        </w:rPr>
        <w:t>Further Assurances; Change in Name or Jurisdiction of Origination, etc</w:t>
      </w:r>
      <w:r>
        <w:rPr>
          <w:rFonts w:ascii="Times New Roman" w:hAnsi="Times New Roman"/>
          <w:sz w:val="20"/>
          <w:u w:val="single"/>
        </w:rPr>
        <w:t>.</w:t>
      </w:r>
      <w:r>
        <w:rPr>
          <w:rFonts w:ascii="Times New Roman" w:hAnsi="Times New Roman"/>
          <w:sz w:val="20"/>
        </w:rPr>
        <w:t xml:space="preserve"> Each Servicer hereby authorizes and hereby agrees from time to time, at its own expense, promptly to execute (if necessary) and deliver all further instruments and documents, and to take all further actions, that may be necessary or desirable, or that the Administrative Agent may reasonably request, to perfect, protect or more fully evidence the security interest granted pursuant to this Agreement or any other Transaction Document, or to enable the Administrative Agent (on behalf of the Secured Parties) to exercise and enforce their respective rights and remedies under this Agreement or any other Transaction Document. Without limiting the foregoing, each Servicer hereby authorizes, and will, upon the request of the Administrative Agent, at each Servicer’s own expense, execute (if necessary) and file such financing statements or continuation statements, or amendments thereto, and such other instruments and documents, that may be necessary or desirable, or that the Administrative Agent may reasonably request, to perfect, protect or evidence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w:t>
      </w:r>
      <w:r>
        <w:rPr>
          <w:rFonts w:ascii="Times New Roman" w:hAnsi="Times New Roman"/>
          <w:b/>
          <w:sz w:val="20"/>
          <w:u w:val="single"/>
        </w:rPr>
        <w:t>Sanctions and other Anti-Terrorism Laws; Anti-Corruption Laws</w:t>
      </w:r>
      <w:r>
        <w:rPr>
          <w:rFonts w:ascii="Times New Roman" w:hAnsi="Times New Roman"/>
          <w:sz w:val="20"/>
        </w:rPr>
        <w:t xml:space="preserve">. Each Servicer covenants and agrees that: </w:t>
      </w:r>
    </w:p>
    <w:p>
      <w:pPr>
        <w:pStyle w:val="TextBody"/>
        <w:bidi w:val="0"/>
        <w:spacing w:before="120" w:after="0"/>
        <w:jc w:val="left"/>
        <w:rPr>
          <w:rFonts w:ascii="Times New Roman" w:hAnsi="Times New Roman"/>
          <w:sz w:val="20"/>
        </w:rPr>
      </w:pPr>
      <w:r>
        <w:rPr>
          <w:rFonts w:ascii="Times New Roman" w:hAnsi="Times New Roman"/>
          <w:sz w:val="20"/>
        </w:rPr>
        <w:t xml:space="preserve">(i) it shall promptly notify each Credit Party in writing upon the knowledge of occurrence of a Reportable Compliance Event; </w:t>
      </w:r>
    </w:p>
    <w:p>
      <w:pPr>
        <w:pStyle w:val="TextBody"/>
        <w:bidi w:val="0"/>
        <w:spacing w:before="120" w:after="0"/>
        <w:jc w:val="left"/>
        <w:rPr>
          <w:rFonts w:ascii="Times New Roman" w:hAnsi="Times New Roman"/>
          <w:sz w:val="20"/>
        </w:rPr>
      </w:pPr>
      <w:r>
        <w:rPr>
          <w:rFonts w:ascii="Times New Roman" w:hAnsi="Times New Roman"/>
          <w:sz w:val="20"/>
        </w:rPr>
        <w:t xml:space="preserve">(ii) if, at any time, any Collateral becomes Blocked Property, then, in addition to all other rights and remedies available to any Credit Party, upon request by any Credit Party, it shall cause the Borrower to provide substitute Collateral that is not Blocked Property; </w:t>
      </w:r>
    </w:p>
    <w:p>
      <w:pPr>
        <w:pStyle w:val="TextBody"/>
        <w:bidi w:val="0"/>
        <w:spacing w:before="120" w:after="0"/>
        <w:jc w:val="left"/>
        <w:rPr>
          <w:rFonts w:ascii="Times New Roman" w:hAnsi="Times New Roman"/>
          <w:sz w:val="20"/>
        </w:rPr>
      </w:pPr>
      <w:r>
        <w:rPr>
          <w:rFonts w:ascii="Times New Roman" w:hAnsi="Times New Roman"/>
          <w:sz w:val="20"/>
        </w:rPr>
        <w:t xml:space="preserve">(iii) it shall, and shall require each other Covered Entity to, conduct its business in compliance with all Anti-Corruption Laws and maintain policies and procedures reasonably designed to promote compliance with such Laws; </w:t>
      </w:r>
    </w:p>
    <w:p>
      <w:pPr>
        <w:pStyle w:val="TextBody"/>
        <w:bidi w:val="0"/>
        <w:spacing w:before="120" w:after="0"/>
        <w:jc w:val="left"/>
        <w:rPr>
          <w:rFonts w:ascii="Times New Roman" w:hAnsi="Times New Roman"/>
          <w:sz w:val="20"/>
        </w:rPr>
      </w:pPr>
      <w:r>
        <w:rPr>
          <w:rFonts w:ascii="Times New Roman" w:hAnsi="Times New Roman"/>
          <w:sz w:val="20"/>
        </w:rPr>
        <w:t xml:space="preserve">(iv) it and its Subsidiaries will not: (A) become a Sanctioned Person; (B) directly, or indirectly through a third party, engage in any transactions or other dealings with or for the benefit of any Sanctioned Person or Sanctioned Jurisdiction, including any use of the proceeds of the Loans to fund any operations in, finance any investments or activities in, or, make any payments to, a Sanctioned Person or Sanctioned Jurisdiction in violation of Sanctions; (C) pay or repay any Borrower Obligations with Blocked Property or funds derived from any unlawful activity; (D) permit any Collateral to become Blocked Property; or (E) cause any Credit Party to violate any Anti-Terrorism Law; and </w:t>
      </w:r>
    </w:p>
    <w:p>
      <w:pPr>
        <w:pStyle w:val="TextBody"/>
        <w:bidi w:val="0"/>
        <w:spacing w:before="120" w:after="0"/>
        <w:jc w:val="left"/>
        <w:rPr>
          <w:rFonts w:ascii="Times New Roman" w:hAnsi="Times New Roman"/>
          <w:sz w:val="20"/>
        </w:rPr>
      </w:pPr>
      <w:r>
        <w:rPr>
          <w:rFonts w:ascii="Times New Roman" w:hAnsi="Times New Roman"/>
          <w:sz w:val="20"/>
        </w:rPr>
        <w:t xml:space="preserve">(v) it will not, and will not permit any of its Subsidiaries to, directly or indirectly, use the Loans or any proceeds thereof in any manner that would result in a violation by any Covered Entity or any Credit Party of Anti-Corruption Law.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b/>
          <w:sz w:val="20"/>
          <w:u w:val="single"/>
        </w:rPr>
        <w:t>Taxes</w:t>
      </w:r>
      <w:r>
        <w:rPr>
          <w:rFonts w:ascii="Times New Roman" w:hAnsi="Times New Roman"/>
          <w:sz w:val="20"/>
        </w:rPr>
        <w:t xml:space="preserve">. Each Servicer will (i) file all federal, state, and other material tax returns required </w:t>
      </w:r>
      <w:r>
        <w:rPr>
          <w:rFonts w:ascii="Times New Roman" w:hAnsi="Times New Roman"/>
          <w:color w:val="0000FF"/>
          <w:sz w:val="20"/>
          <w:u w:val="single"/>
          <w:bdr w:val="double" w:sz="2" w:space="1" w:color="000000"/>
        </w:rPr>
        <w:t xml:space="preserve">(or the equivalent in Singapore) </w:t>
      </w:r>
      <w:r>
        <w:rPr>
          <w:rFonts w:ascii="Times New Roman" w:hAnsi="Times New Roman"/>
          <w:sz w:val="20"/>
        </w:rPr>
        <w:t xml:space="preserve">to be filed by it </w:t>
      </w:r>
      <w:r>
        <w:rPr>
          <w:rFonts w:ascii="Times New Roman" w:hAnsi="Times New Roman"/>
          <w:strike/>
          <w:color w:val="FF0000"/>
          <w:sz w:val="20"/>
        </w:rPr>
        <w:t xml:space="preserve">(except for the Outstanding UK Tax Return) </w:t>
      </w:r>
      <w:r>
        <w:rPr>
          <w:rFonts w:ascii="Times New Roman" w:hAnsi="Times New Roman"/>
          <w:sz w:val="20"/>
        </w:rPr>
        <w:t xml:space="preserve">and (ii) pay, or cause to be paid, all federal, state, and other material taxes, assessments and other governmental charges, if any, other than taxes, assessments and other governmental charges being contested in good faith by appropriate proceedings and as to which adequate reserves have been provided in accordance with GAAP. </w:t>
      </w:r>
      <w:r>
        <w:rPr>
          <w:rFonts w:ascii="Times New Roman" w:hAnsi="Times New Roman"/>
          <w:strike/>
          <w:color w:val="FF0000"/>
          <w:sz w:val="20"/>
        </w:rPr>
        <w:t xml:space="preserve">The UK Servicer will take all commercially reasonable steps necessary to ensure that the Outstanding UK Tax Return is filed as soon as possible and to mitigate any liability to interest or penalties that may arise as a result of the late filing of the Outstanding UK Tax Return and will pay any such interest or penalties promptly.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b/>
          <w:sz w:val="20"/>
          <w:u w:val="single"/>
        </w:rPr>
        <w:t>Borrower’s Tax Status</w:t>
      </w:r>
      <w:r>
        <w:rPr>
          <w:rFonts w:ascii="Times New Roman" w:hAnsi="Times New Roman"/>
          <w:sz w:val="20"/>
        </w:rPr>
        <w:t xml:space="preserve">. Each Servicer shall not take or cause any action to be taken that could result in the Borrower (i) being treated other than as a “disregarded entity” within the meaning of U.S. Treasury Regulation § 301.7701-3 for U.S. federal income tax purposes, (ii) becoming subject to any Tax in any jurisdiction outside the United States or (iii) becoming subject to any material tax imposed by a state or local taxing authority. </w:t>
      </w:r>
    </w:p>
    <w:p>
      <w:pPr>
        <w:pStyle w:val="TextBody"/>
        <w:bidi w:val="0"/>
        <w:spacing w:before="120" w:after="0"/>
        <w:jc w:val="left"/>
        <w:rPr>
          <w:rFonts w:ascii="Times New Roman" w:hAnsi="Times New Roman"/>
          <w:sz w:val="20"/>
        </w:rPr>
      </w:pPr>
      <w:r>
        <w:rPr>
          <w:rFonts w:ascii="Times New Roman" w:hAnsi="Times New Roman"/>
          <w:sz w:val="20"/>
        </w:rPr>
        <w:t xml:space="preserve">(r) </w:t>
      </w:r>
      <w:r>
        <w:rPr>
          <w:rFonts w:ascii="Times New Roman" w:hAnsi="Times New Roman"/>
          <w:b/>
          <w:sz w:val="20"/>
          <w:u w:val="single"/>
        </w:rPr>
        <w:t>Linked Accounts</w:t>
      </w:r>
      <w:r>
        <w:rPr>
          <w:rFonts w:ascii="Times New Roman" w:hAnsi="Times New Roman"/>
          <w:sz w:val="20"/>
        </w:rPr>
        <w:t xml:space="preserve">. Except for any Permitted Linked Account, each Servicer shall not permit any Linked Account to exist with respect to any Collection Account; provided, however, that at any time during the continuance of an Event of Default or a Financial Covenant Event, each Servicer shall, if so instructed by the Administrative Agent (in its sole discretion), cause each Permitted Linked Account to cease being a “Linked Account” promptly, but not later than two (2) Business Days following the Borrower’s or each Servicer’s receipt of such instruction.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 </w:t>
      </w:r>
      <w:r>
        <w:rPr>
          <w:rFonts w:ascii="Times New Roman" w:hAnsi="Times New Roman"/>
          <w:b/>
          <w:sz w:val="20"/>
          <w:u w:val="single"/>
        </w:rPr>
        <w:t>Exclusivity</w:t>
      </w:r>
      <w:r>
        <w:rPr>
          <w:rFonts w:ascii="Times New Roman" w:hAnsi="Times New Roman"/>
          <w:sz w:val="20"/>
        </w:rPr>
        <w:t xml:space="preserve">. No Servicer shall permit Parent or any Subsidiary thereof (i) to sell, factor, pledge, assign or otherwise finance any Receivable (other than Excluded Receivables) except as contemplated by this Agreement and the Transaction Documents as part of dispositions, discounts or forgiveness of Receivables in connection with the collection or compromise thereof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b/>
          <w:sz w:val="20"/>
          <w:u w:val="single"/>
        </w:rPr>
        <w:t>Separate Existence of the Borrower</w:t>
      </w:r>
      <w:r>
        <w:rPr>
          <w:rFonts w:ascii="Times New Roman" w:hAnsi="Times New Roman"/>
          <w:sz w:val="20"/>
        </w:rPr>
        <w:t xml:space="preserve">. Each of the Borrower and each Servicer hereby acknowledges that the Credit Parties are entering into the transactions contemplated by this Agreement and the other Transaction Documents in reliance upon the Borrower’s identity as a legal entity separate from each other Borrower-Related Party and their Affiliates. Therefore, each of the Borrower and Servicer shall take all steps specifically required by this Agreement or reasonably required by any Credit Party to continue the Borrower’s identity as a separate legal entity and to make it apparent to third Persons that the Borrower is an entity with assets and liabilities distinct from those of each other Borrower-Related Party and any other Person, and is not a division of any other Borrower-Related Party or any other Person. Without limiting the generality of the foregoing and in addition to and consistent with the other covenants set forth herein, each of the Borrower and each Servicer shall take such actions as shall be required in order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u w:val="single"/>
        </w:rPr>
        <w:t>Special Purpose Entity</w:t>
      </w:r>
      <w:r>
        <w:rPr>
          <w:rFonts w:ascii="Times New Roman" w:hAnsi="Times New Roman"/>
          <w:sz w:val="20"/>
        </w:rPr>
        <w:t xml:space="preserve">. The Borrower will be a special purpose company whose primary activities are restricted in its limited liability company agreement to: (i) purchasing or otherwise acquiring from the Originators, owning, holding, collecting, granting security interests or selling interests in the Collateral, (ii) entering into agreements for the selling, servicing and financing of the Receivables Pool (including the Transaction Documents) and (iii) conducting such other activities as it deems necessary or appropriate to carry out its primary activities.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u w:val="single"/>
        </w:rPr>
        <w:t>No Other Business or Indebtedness</w:t>
      </w:r>
      <w:r>
        <w:rPr>
          <w:rFonts w:ascii="Times New Roman" w:hAnsi="Times New Roman"/>
          <w:sz w:val="20"/>
        </w:rPr>
        <w:t xml:space="preserve">. The Borrower shall not engage in any business or activity except as set forth in this Agreement nor, incur any indebtedness or liability other than as expressly permitted by the Transaction Documents.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u w:val="single"/>
        </w:rPr>
        <w:t>Independent Director</w:t>
      </w:r>
      <w:r>
        <w:rPr>
          <w:rFonts w:ascii="Times New Roman" w:hAnsi="Times New Roman"/>
          <w:sz w:val="20"/>
        </w:rPr>
        <w:t>. Not fewer than one member of the Borrower’s board of directors (the “</w:t>
      </w:r>
      <w:r>
        <w:rPr>
          <w:rFonts w:ascii="Times New Roman" w:hAnsi="Times New Roman"/>
          <w:sz w:val="20"/>
          <w:u w:val="single"/>
        </w:rPr>
        <w:t>Independent Director</w:t>
      </w:r>
      <w:r>
        <w:rPr>
          <w:rFonts w:ascii="Times New Roman" w:hAnsi="Times New Roman"/>
          <w:sz w:val="20"/>
        </w:rPr>
        <w:t xml:space="preserve">”) shall be a natural person who (i) has never been, and shall at no time be, an equityholder, director, officer, manager, member, partner, officer, employee or associate, or any relative of the foregoing, of any member of the Parent Group (as hereinafter defined) (other than his or her service as an Independent Director of the Borrower or an independent director of any other bankruptcy-remote special purpose entity formed for the sole purpose of securitizing, or facilitating the securitization of, financial assets of any member or members of the Parent Group), (ii) is not a customer or supplier of any member of the Parent Group (other than his or her service as an Independent Director of the Borrower or an independent director of any other bankruptcy-remote special purpose entity formed for the sole purpose of securitizing, or facilitating the securitization of, financial assets of any member or members of the Parent Group), (iii) is not any member of the immediate family of a person described in </w:t>
      </w:r>
      <w:r>
        <w:rPr>
          <w:rFonts w:ascii="Times New Roman" w:hAnsi="Times New Roman"/>
          <w:sz w:val="20"/>
          <w:u w:val="single"/>
        </w:rPr>
        <w:t>(i)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above, and (iv) has (x) prior experience as an independent director for a corporation or limited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whose organizational or charter documents required the unanimous consent of all independent directors thereof before such corporation or limited liability company could consent to the institution of bankruptcy or insolvency proceedings against it or could file a petition seeking relief under any applicable federal or state law relating to bankruptcy and (y) at least three years of employment experience with one or more entities that provide, in the ordinary course of their respective businesses, advisory, management or placement services to issuers of securitization or structured finance instruments, agreements or securities. For purposes of this </w:t>
      </w:r>
      <w:r>
        <w:rPr>
          <w:rFonts w:ascii="Times New Roman" w:hAnsi="Times New Roman"/>
          <w:sz w:val="20"/>
          <w:u w:val="single"/>
        </w:rPr>
        <w:t>clause (c)</w:t>
      </w:r>
      <w:r>
        <w:rPr>
          <w:rFonts w:ascii="Times New Roman" w:hAnsi="Times New Roman"/>
          <w:sz w:val="20"/>
        </w:rPr>
        <w:t>, “</w:t>
      </w:r>
      <w:r>
        <w:rPr>
          <w:rFonts w:ascii="Times New Roman" w:hAnsi="Times New Roman"/>
          <w:sz w:val="20"/>
          <w:u w:val="single"/>
        </w:rPr>
        <w:t>Parent Group</w:t>
      </w:r>
      <w:r>
        <w:rPr>
          <w:rFonts w:ascii="Times New Roman" w:hAnsi="Times New Roman"/>
          <w:sz w:val="20"/>
        </w:rPr>
        <w:t xml:space="preserve">” means (i) each Borrower-Related Party, (ii) each person that directly or indirectly, owns or controls, whether beneficially, or as a trustee, guardian or other fiduciary, five percent (5%) or more of the membership interests in the Parent, (iii) each person that controls, is controlled by or is under common control with the Parent and (iv) each of such person’s officers, directors, managers, joint venturers and partners. For the purposes of this definition, “control” of a person means the possession, directly or indirectly, of the power to direct or cause the direction of the management and policies of a person or entity, whether through the ownership of voting securities, by contract or otherwise. A person shall be deemed to be an “associate” of (A) a corporation or organization of which such person is an officer, director, partner or manager or is, directly or indirectly, the beneficial owner of ten percent (10%) or more of any class of equity securities, (B) any trust or other estate in which such person serves as trustee or in a similar capacity and (C) any relative or spouse of a person described in </w:t>
      </w:r>
      <w:r>
        <w:rPr>
          <w:rFonts w:ascii="Times New Roman" w:hAnsi="Times New Roman"/>
          <w:sz w:val="20"/>
          <w:u w:val="single"/>
        </w:rPr>
        <w:t>clause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of this sentence, or any relative of such spouse. </w:t>
      </w:r>
    </w:p>
    <w:p>
      <w:pPr>
        <w:pStyle w:val="TextBody"/>
        <w:bidi w:val="0"/>
        <w:spacing w:before="240" w:after="0"/>
        <w:jc w:val="left"/>
        <w:rPr>
          <w:rFonts w:ascii="Times New Roman" w:hAnsi="Times New Roman"/>
          <w:sz w:val="20"/>
        </w:rPr>
      </w:pPr>
      <w:r>
        <w:rPr>
          <w:rFonts w:ascii="Times New Roman" w:hAnsi="Times New Roman"/>
          <w:sz w:val="20"/>
        </w:rPr>
        <w:t xml:space="preserve">The Borrower shall (A) give written notice to the Administrative Agent of the election or appointment, or proposed election or appointment, of a new Independent Director of the Borrower, which notice shall be given not later than ten (10) Business Days prior to the date such appointment or election would be effective (except when such election or appointment is necessary to fill a vacancy caused by the death, disability, or incapacity of the existing Independent Director, or the failure of such Independent Director to satisfy the criteria for an Independent Director set forth in this </w:t>
      </w:r>
      <w:r>
        <w:rPr>
          <w:rFonts w:ascii="Times New Roman" w:hAnsi="Times New Roman"/>
          <w:sz w:val="20"/>
          <w:u w:val="single"/>
        </w:rPr>
        <w:t>clause (c)</w:t>
      </w:r>
      <w:r>
        <w:rPr>
          <w:rFonts w:ascii="Times New Roman" w:hAnsi="Times New Roman"/>
          <w:sz w:val="20"/>
        </w:rPr>
        <w:t xml:space="preserve">, in which case the Borrower shall provide written notice of such election or appointment within one (1) Business Day) and (B) with any such written notice, certify to the Administrative Agent that the Independent Director satisfies the criteria for an Independent Director set forth in this </w:t>
      </w:r>
      <w:r>
        <w:rPr>
          <w:rFonts w:ascii="Times New Roman" w:hAnsi="Times New Roman"/>
          <w:sz w:val="20"/>
          <w:u w:val="single"/>
        </w:rPr>
        <w:t>clause (c)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Borrower’s limited liability company agreement shall provide that: (A) the Borrower’s board of directors shall not approve, or take any other action to cause the filing of, a voluntary bankruptcy petition with respect to the Borrower unless the Independent Director shall approve the taking of such action in writing before the taking of such action and (B) such provision and each other provision requiring an Independent Director cannot be amended without the prior written consent of the Independent Director. </w:t>
      </w:r>
    </w:p>
    <w:p>
      <w:pPr>
        <w:pStyle w:val="TextBody"/>
        <w:bidi w:val="0"/>
        <w:spacing w:before="240" w:after="0"/>
        <w:jc w:val="left"/>
        <w:rPr>
          <w:rFonts w:ascii="Times New Roman" w:hAnsi="Times New Roman"/>
          <w:sz w:val="20"/>
        </w:rPr>
      </w:pPr>
      <w:r>
        <w:rPr>
          <w:rFonts w:ascii="Times New Roman" w:hAnsi="Times New Roman"/>
          <w:sz w:val="20"/>
        </w:rPr>
        <w:t xml:space="preserve">The Independent Director shall not at any time serve as a trustee in bankruptcy for any Borrower-Related Party or any of their respective Affiliates.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sz w:val="20"/>
          <w:u w:val="single"/>
        </w:rPr>
        <w:t>Organizational Documents</w:t>
      </w:r>
      <w:r>
        <w:rPr>
          <w:rFonts w:ascii="Times New Roman" w:hAnsi="Times New Roman"/>
          <w:sz w:val="20"/>
        </w:rPr>
        <w:t xml:space="preserve">. The Borrower shall maintain its organizational documents in conformity with this Agreement, such that it does not amend, restate, supplement or otherwise modify its ability to comply with the terms and provisions of any of the Transaction Documents, including </w:t>
      </w:r>
      <w:r>
        <w:rPr>
          <w:rFonts w:ascii="Times New Roman" w:hAnsi="Times New Roman"/>
          <w:sz w:val="20"/>
          <w:u w:val="single"/>
        </w:rPr>
        <w:t>Section 7.01(p)</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b/>
          <w:sz w:val="20"/>
          <w:u w:val="single"/>
        </w:rPr>
        <w:t>Conduct of Business</w:t>
      </w:r>
      <w:r>
        <w:rPr>
          <w:rFonts w:ascii="Times New Roman" w:hAnsi="Times New Roman"/>
          <w:sz w:val="20"/>
        </w:rPr>
        <w:t xml:space="preserve">. The Borrower shall conduct its affairs strictly in accordance with its organizational documents and observe all necessary, appropriate and customary company formalities, including holding all regular and special members’ and board of directors’ meetings appropriate to authorize all company action, keeping separate and accurate minutes of its meetings, passing all resolutions or consents necessary to authorize actions taken or to be taken, and maintaining accurate and separate books, records and accounts, including payroll and intercompany transaction accounts.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b/>
          <w:sz w:val="20"/>
          <w:u w:val="single"/>
        </w:rPr>
        <w:t>Compensation</w:t>
      </w:r>
      <w:r>
        <w:rPr>
          <w:rFonts w:ascii="Times New Roman" w:hAnsi="Times New Roman"/>
          <w:sz w:val="20"/>
        </w:rPr>
        <w:t xml:space="preserve">. Any employee, consultant or agent of the Borrower will be compensated from the Borrower’s funds for services provided to the Borrower, and to the extent that Borrower shares the same officers or other employees as each Servicer (or any other Affiliate thereof), the salaries and expenses relating to providing benefits to such officers and other employees shall, to the extent practical on the basis of actual use or the value of the services rendered, be fairly allocated among such entities, and each such entity shall bear its fair share of the salary and benefit costs associated with such common officers and employees. The Borrower will not engage any agents other than its attorneys, auditors and other professionals, and a servicer and any other agent contemplated by the Transaction Documents for the Receivables Pool, which servicer will be fully compensated for its services by payment of the Servicing Fee.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b/>
          <w:sz w:val="20"/>
          <w:u w:val="single"/>
        </w:rPr>
        <w:t>Servicing and Costs</w:t>
      </w:r>
      <w:r>
        <w:rPr>
          <w:rFonts w:ascii="Times New Roman" w:hAnsi="Times New Roman"/>
          <w:sz w:val="20"/>
        </w:rPr>
        <w:t xml:space="preserve">. The Borrower will contract with each Servicer to perform for the Borrower all operations required on a daily basis to service the Receivables Pool. The Borrower will not incur any indirect or overhead expenses for items shared with each Servicer (or any other Affiliate thereof) that are not reflected in the Servicing Fee. To the extent, if any, that the Borrower (or any Affiliate thereof) shares items of expenses not reflected in the Servicing Fee, such as legal, auditing and other professional services, such expenses will be allocated to the extent practical on the basis of actual use or the value of services rendered, and otherwise on a basis reasonably related to the actual use or the value of services rendered.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b/>
          <w:sz w:val="20"/>
          <w:u w:val="single"/>
        </w:rPr>
        <w:t>Operating Expenses</w:t>
      </w:r>
      <w:r>
        <w:rPr>
          <w:rFonts w:ascii="Times New Roman" w:hAnsi="Times New Roman"/>
          <w:sz w:val="20"/>
        </w:rPr>
        <w:t xml:space="preserve">. The Borrower’s operating expenses will not be paid by any Borrower-Related Party or any Affiliate thereof.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b/>
          <w:sz w:val="20"/>
          <w:u w:val="single"/>
        </w:rPr>
        <w:t>Stationery</w:t>
      </w:r>
      <w:r>
        <w:rPr>
          <w:rFonts w:ascii="Times New Roman" w:hAnsi="Times New Roman"/>
          <w:sz w:val="20"/>
        </w:rPr>
        <w:t xml:space="preserve">. The Borrower will have its own separate stationery.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b/>
          <w:sz w:val="20"/>
          <w:u w:val="single"/>
        </w:rPr>
        <w:t>Books and Records</w:t>
      </w:r>
      <w:r>
        <w:rPr>
          <w:rFonts w:ascii="Times New Roman" w:hAnsi="Times New Roman"/>
          <w:sz w:val="20"/>
        </w:rPr>
        <w:t xml:space="preserve">. The Borrower’s books and records will be maintained separately from those of any other Borrower-Related Party and any of their Affiliates and in a manner such that it will not be difficult or costly to segregate, ascertain or otherwise identify the assets and liabilities of the Borrower.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b/>
          <w:sz w:val="20"/>
          <w:u w:val="single"/>
        </w:rPr>
        <w:t>Disclosure of Transactions</w:t>
      </w:r>
      <w:r>
        <w:rPr>
          <w:rFonts w:ascii="Times New Roman" w:hAnsi="Times New Roman"/>
          <w:sz w:val="20"/>
        </w:rPr>
        <w:t xml:space="preserve">. All financial statements of any Borrower-Related Party or any Affiliate thereof that are consolidated to include the Borrower will disclose that (i) the Borrower’s sole business consists of the purchase or acceptance through capital contributions of the Receivables and Related Rights from the Originators and the subsequent retransfer of or granting of a security interest in such Receivables and Related Rights to the Administrative Agent pursuant to this Agreement, (ii) the Borrower is a separate legal entity with its own separate creditors who will be entitled, upon its liquidation, to be satisfied out of the Borrower’s assets prior to any assets or value in the Borrower becoming available to the Borrower’s equity holders and (iii) the assets of the Borrower are not available to pay creditors of any other Borrower-Related Party or any Affiliate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w:t>
      </w:r>
      <w:r>
        <w:rPr>
          <w:rFonts w:ascii="Times New Roman" w:hAnsi="Times New Roman"/>
          <w:b/>
          <w:sz w:val="20"/>
          <w:u w:val="single"/>
        </w:rPr>
        <w:t>Segregation of Assets</w:t>
      </w:r>
      <w:r>
        <w:rPr>
          <w:rFonts w:ascii="Times New Roman" w:hAnsi="Times New Roman"/>
          <w:sz w:val="20"/>
        </w:rPr>
        <w:t xml:space="preserve">. The Borrower’s assets will be maintained in a manner that facilitates their identification and segregation from those of any other Borrower-Related Party or any Affiliates thereof.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b/>
          <w:sz w:val="20"/>
          <w:u w:val="single"/>
        </w:rPr>
        <w:t>Corporate Formalities</w:t>
      </w:r>
      <w:r>
        <w:rPr>
          <w:rFonts w:ascii="Times New Roman" w:hAnsi="Times New Roman"/>
          <w:sz w:val="20"/>
        </w:rPr>
        <w:t xml:space="preserve">. The Borrower will strictly observe limited liability company formalities in its dealings with any other Borrower-Related Party or any Affiliates thereof, and funds or other assets of the Borrower will not be commingled with those of any other Borrower-Related Party or any Affiliates thereof except as permitted by this Agreement in connection with servicing the Pool Receivables. The Borrower shall not maintain joint bank accounts or other depository accounts to which any other Borrower-Related Party or any Affiliate thereof (other than each Servicer solely in its capacity as such) has independent access. The Borrower is not named, and has not entered into any agreement to be named, directly or indirectly, as a direct or contingent beneficiary or loss payee on any insurance policy with respect to any loss relating to the property of any other Borrower-Related Party or other Affiliates thereof. The Borrower will pay to the appropriate Affiliate the marginal increase or, in the absence of such increase, the market amount of its portion of the premium payable with respect to any insurance policy that covers the Borrower and such Affiliate.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b/>
          <w:sz w:val="20"/>
          <w:u w:val="single"/>
        </w:rPr>
        <w:t>Arm’s-Length Relationships</w:t>
      </w:r>
      <w:r>
        <w:rPr>
          <w:rFonts w:ascii="Times New Roman" w:hAnsi="Times New Roman"/>
          <w:sz w:val="20"/>
        </w:rPr>
        <w:t xml:space="preserve">. The Borrower will maintain arm’s-length relationships with any other Borrower-Related Party and any Affiliates thereof. Any Person that renders or otherwise furnishes services to the Borrower will be compensated by the Borrower at market rates for such services it renders or otherwise furnishes to the Borrower. Neither the Borrower on the one hand, nor any other Borrower-Related Party or any Affiliate thereof, on the other hand, will be or will hold itself out to be responsible for the debts of the other or the decisions or actions respecting the daily business and affairs of the other. The Borrower-Related Parties and their respective Affiliates will immediately correct any known misrepresentation with respect to the foregoing, and they will not operate or purport to operate as an integrated single economic unit with respect to each other or in their dealing with any other entity.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b/>
          <w:sz w:val="20"/>
          <w:u w:val="single"/>
        </w:rPr>
        <w:t>Allocation of Overhead</w:t>
      </w:r>
      <w:r>
        <w:rPr>
          <w:rFonts w:ascii="Times New Roman" w:hAnsi="Times New Roman"/>
          <w:sz w:val="20"/>
        </w:rPr>
        <w:t xml:space="preserve">. To the extent that Borrower, on the one hand, and any other Borrower-Related Party or any Affiliate thereof, on the other hand, have offices in the same location, there shall be a fair and appropriate allocation of overhead costs between them, and the Borrower shall bear its fair share of such expenses, which may be paid through the Servicing Fee or otherwise.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240" w:after="0"/>
        <w:jc w:val="center"/>
        <w:rPr>
          <w:rFonts w:ascii="Times New Roman" w:hAnsi="Times New Roman"/>
          <w:b/>
          <w:sz w:val="20"/>
        </w:rPr>
      </w:pPr>
      <w:r>
        <w:rPr>
          <w:rFonts w:ascii="Times New Roman" w:hAnsi="Times New Roman"/>
          <w:b/>
          <w:sz w:val="20"/>
        </w:rPr>
        <w:t xml:space="preserve">ADMINISTRATION AND COLLECTION </w:t>
      </w:r>
    </w:p>
    <w:p>
      <w:pPr>
        <w:pStyle w:val="TextBody"/>
        <w:bidi w:val="0"/>
        <w:spacing w:before="0" w:after="0"/>
        <w:jc w:val="center"/>
        <w:rPr>
          <w:rFonts w:ascii="Times New Roman" w:hAnsi="Times New Roman"/>
          <w:b/>
          <w:sz w:val="20"/>
        </w:rPr>
      </w:pPr>
      <w:r>
        <w:rPr>
          <w:rFonts w:ascii="Times New Roman" w:hAnsi="Times New Roman"/>
          <w:b/>
          <w:sz w:val="20"/>
        </w:rPr>
        <w:t xml:space="preserve">OF RECEIVABLES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b/>
          <w:sz w:val="20"/>
          <w:u w:val="single"/>
        </w:rPr>
        <w:t>Appointment of the Servicers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servicing, administering and collection of the Pool Receivables shall be conducted by the Person so designated from time to time as each Servicer in accordance with this </w:t>
      </w:r>
      <w:r>
        <w:rPr>
          <w:rFonts w:ascii="Times New Roman" w:hAnsi="Times New Roman"/>
          <w:sz w:val="20"/>
          <w:u w:val="single"/>
        </w:rPr>
        <w:t>Section 8.01</w:t>
      </w:r>
      <w:r>
        <w:rPr>
          <w:rFonts w:ascii="Times New Roman" w:hAnsi="Times New Roman"/>
          <w:sz w:val="20"/>
        </w:rPr>
        <w:t xml:space="preserve">. Until the Administrative Agent gives notice (in accordance with this </w:t>
      </w:r>
      <w:r>
        <w:rPr>
          <w:rFonts w:ascii="Times New Roman" w:hAnsi="Times New Roman"/>
          <w:sz w:val="20"/>
          <w:u w:val="single"/>
        </w:rPr>
        <w:t>Section 8.01</w:t>
      </w:r>
      <w:r>
        <w:rPr>
          <w:rFonts w:ascii="Times New Roman" w:hAnsi="Times New Roman"/>
          <w:sz w:val="20"/>
        </w:rPr>
        <w:t xml:space="preserve">) of the designation of a new Servicer: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Solely with respect to the U.S. Receivables, Sabre is hereby designated as, and hereby agrees to perform the duties and obligations of, a Servicer; </w:t>
      </w:r>
      <w:r>
        <w:rPr>
          <w:rFonts w:ascii="Times New Roman" w:hAnsi="Times New Roman"/>
          <w:strike/>
          <w:color w:val="FF0000"/>
          <w:sz w:val="20"/>
        </w:rPr>
        <w:t>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 Solely with respect to the UK Receivables, Sabre Limited is hereby designated as, and hereby agrees to perform the duties and obligations of, a Servicer;</w:t>
      </w:r>
      <w:r>
        <w:rPr>
          <w:rFonts w:ascii="Times New Roman" w:hAnsi="Times New Roman"/>
          <w:color w:val="0000FF"/>
          <w:sz w:val="20"/>
          <w:u w:val="single"/>
          <w:bdr w:val="double" w:sz="2" w:space="1" w:color="000000"/>
        </w:rPr>
        <w:t xml:space="preserve">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(iii) Solely with respect to the SG Receivables, Sabre AP is hereby designated as, and hereby agrees to perform the duties and obligations of, a Servicer.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each case, pursuant to the terms hereof. Upon the occurrence of an Event of Default or a Financial Covenant Event, the Administrative Agent may (with the consent of the Required Lenders) and shall (at the direction of the Required Lenders) designate as Servicer any Person (including itself) to succeed such Servicer or any successor Servicer, on such terms and conditions as the Administrative Agent may agree in its discretion. </w:t>
      </w:r>
    </w:p>
    <w:p>
      <w:pPr>
        <w:pStyle w:val="TextBody"/>
        <w:bidi w:val="0"/>
        <w:spacing w:before="120" w:after="0"/>
        <w:jc w:val="left"/>
        <w:rPr>
          <w:rFonts w:ascii="Times New Roman" w:hAnsi="Times New Roman"/>
          <w:sz w:val="20"/>
        </w:rPr>
      </w:pPr>
      <w:r>
        <w:rPr>
          <w:rFonts w:ascii="Times New Roman" w:hAnsi="Times New Roman"/>
          <w:sz w:val="20"/>
        </w:rPr>
        <w:t xml:space="preserve">(b) Upon the designation of a successor Servicer as set forth in </w:t>
      </w:r>
      <w:r>
        <w:rPr>
          <w:rFonts w:ascii="Times New Roman" w:hAnsi="Times New Roman"/>
          <w:sz w:val="20"/>
          <w:u w:val="single"/>
        </w:rPr>
        <w:t>clause (a)</w:t>
      </w:r>
      <w:r>
        <w:rPr>
          <w:rFonts w:ascii="Times New Roman" w:hAnsi="Times New Roman"/>
          <w:sz w:val="20"/>
        </w:rPr>
        <w:t xml:space="preserve"> above, the outgoing Servicer agrees that it will terminate its activities as Servicer hereunder in a manner that the Administrative Agent reasonably determines will facilitate the transition of the performance of such activities to the new Servicer, and the outgoing Servicer shall cooperate with and assist such new Servicer. Such cooperation shall include access to and transfer of records (including all Contracts) related to Pool Receivables and use by the new Servicer of all licenses (or the obtaining of new licenses), hardware or software necessary or reasonably desirable to collect the Pool Receivables and the Related Security. </w:t>
      </w:r>
    </w:p>
    <w:p>
      <w:pPr>
        <w:pStyle w:val="TextBody"/>
        <w:bidi w:val="0"/>
        <w:spacing w:before="120" w:after="0"/>
        <w:jc w:val="left"/>
        <w:rPr>
          <w:rFonts w:ascii="Times New Roman" w:hAnsi="Times New Roman"/>
          <w:sz w:val="20"/>
        </w:rPr>
      </w:pPr>
      <w:r>
        <w:rPr>
          <w:rFonts w:ascii="Times New Roman" w:hAnsi="Times New Roman"/>
          <w:sz w:val="20"/>
        </w:rPr>
        <w:t>(c) Each of Sabre GLBL Inc.</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Sabre Global Technologies Limited </w:t>
      </w:r>
      <w:r>
        <w:rPr>
          <w:rFonts w:ascii="Times New Roman" w:hAnsi="Times New Roman"/>
          <w:color w:val="0000FF"/>
          <w:sz w:val="20"/>
          <w:u w:val="single"/>
          <w:bdr w:val="double" w:sz="2" w:space="1" w:color="000000"/>
        </w:rPr>
        <w:t xml:space="preserve">and Sabre Asia Pacific Pte. Ltd. </w:t>
      </w:r>
      <w:r>
        <w:rPr>
          <w:rFonts w:ascii="Times New Roman" w:hAnsi="Times New Roman"/>
          <w:sz w:val="20"/>
        </w:rPr>
        <w:t>acknowledges that, in making its decision to execute and deliver this Agreement, the Administrative Agent and each Lender have relied on each of Sabre GLBL Inc.</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Sabre Global Technologies </w:t>
      </w:r>
      <w:r>
        <w:rPr>
          <w:rFonts w:ascii="Times New Roman" w:hAnsi="Times New Roman"/>
          <w:strike/>
          <w:color w:val="FF0000"/>
          <w:sz w:val="20"/>
        </w:rPr>
        <w:t>Limited’s</w:t>
      </w:r>
      <w:r>
        <w:rPr>
          <w:rFonts w:ascii="Times New Roman" w:hAnsi="Times New Roman"/>
          <w:color w:val="0000FF"/>
          <w:sz w:val="20"/>
          <w:u w:val="single"/>
          <w:bdr w:val="double" w:sz="2" w:space="1" w:color="000000"/>
        </w:rPr>
        <w:t>Limited and Sabre Asia Pacific Pte. Ltd.’s</w:t>
      </w:r>
      <w:r>
        <w:rPr>
          <w:rFonts w:ascii="Times New Roman" w:hAnsi="Times New Roman"/>
          <w:sz w:val="20"/>
        </w:rPr>
        <w:t xml:space="preserve"> agreement to act as Servicer hereunder. Accordingly, each of Sabre GLBL Inc.</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Sabre Global Technologies Limited </w:t>
      </w:r>
      <w:r>
        <w:rPr>
          <w:rFonts w:ascii="Times New Roman" w:hAnsi="Times New Roman"/>
          <w:color w:val="0000FF"/>
          <w:sz w:val="20"/>
          <w:u w:val="single"/>
          <w:bdr w:val="double" w:sz="2" w:space="1" w:color="000000"/>
        </w:rPr>
        <w:t>and Sabre Asia Pacific Pte. Ltd.</w:t>
      </w:r>
      <w:r>
        <w:rPr>
          <w:rFonts w:ascii="Times New Roman" w:hAnsi="Times New Roman"/>
          <w:sz w:val="20"/>
        </w:rPr>
        <w:t xml:space="preserve"> agrees that it will not voluntarily resign as Servicer without the prior written consent of the Administrative Agent and the Required Lenders. </w:t>
      </w:r>
    </w:p>
    <w:p>
      <w:pPr>
        <w:pStyle w:val="TextBody"/>
        <w:bidi w:val="0"/>
        <w:spacing w:before="120" w:after="0"/>
        <w:jc w:val="left"/>
        <w:rPr>
          <w:rFonts w:ascii="Times New Roman" w:hAnsi="Times New Roman"/>
          <w:sz w:val="20"/>
        </w:rPr>
      </w:pPr>
      <w:r>
        <w:rPr>
          <w:rFonts w:ascii="Times New Roman" w:hAnsi="Times New Roman"/>
          <w:sz w:val="20"/>
        </w:rPr>
        <w:t>(d) Each Servicer may delegate its duties and obligations hereunder to any subservicer (each a “</w:t>
      </w:r>
      <w:r>
        <w:rPr>
          <w:rFonts w:ascii="Times New Roman" w:hAnsi="Times New Roman"/>
          <w:sz w:val="20"/>
          <w:u w:val="single"/>
        </w:rPr>
        <w:t>Sub-Servicer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in each such delegation: (i) such Sub-Servicer shall agree in writing to perform the delegated duties and obligations of each Servicer pursuant to the terms hereof, (ii) each Servicer shall remain liable for the performance of the duties and obligations so delegated, (iii) the Borrower, the Administrative Agent and each Lender shall have the right to look solely to each Servicer for performance, (iv) the terms of any agreement with any Sub-Servicer shall provide that the Administrative Agent may terminate such agreement upon the termination of each Servicer hereunder by giving notice of its desire to terminate such agreement to each Servicer (and each Servicer shall provide appropriate notice to each such Sub-Servicer) and (v) if such Sub-Servicer is not an Affiliate of Parent, the Administrative Agent and the Required Lenders shall have consented in writing in advance to such delegation.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8.02 </w:t>
      </w:r>
      <w:r>
        <w:rPr>
          <w:rFonts w:ascii="Times New Roman" w:hAnsi="Times New Roman"/>
          <w:b/>
          <w:sz w:val="20"/>
          <w:u w:val="single"/>
        </w:rPr>
        <w:t>Duties of the Servicers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Servicer shall take or cause to be taken all such action as may be necessary or reasonably advisable to service, administer and collect each Pool Receivable from time to time, all in accordance with this Agreement and all applicable Laws, with reasonable care and diligence, and in accordance with the Credit and Collection Policy and consistent with the past practices of the Originators. Each Servicer shall set aside, for the accounts of the Borrower for payment to each Credit Party, the amount of Collections it or its Affiliates actually receive to which each such Credit Party is entitled in accordance with </w:t>
      </w:r>
      <w:r>
        <w:rPr>
          <w:rFonts w:ascii="Times New Roman" w:hAnsi="Times New Roman"/>
          <w:sz w:val="20"/>
          <w:u w:val="single"/>
        </w:rPr>
        <w:t>Article III</w:t>
      </w:r>
      <w:r>
        <w:rPr>
          <w:rFonts w:ascii="Times New Roman" w:hAnsi="Times New Roman"/>
          <w:sz w:val="20"/>
        </w:rPr>
        <w:t xml:space="preserve"> hereof. Each Servicer may, in accordance with the Credit and Collection Policy and consistent with past practices of the Originators, take such action, including modifications, waivers or restructurings of Pool Receivables and related Contracts, as each Servicer may reasonably determine to be appropriate to maximize Collections thereof or reflect adjustments expressly permitted under the Credit and Collection Policy or as expressly required under applicable Laws or the applicable Contract; </w:t>
      </w:r>
      <w:r>
        <w:rPr>
          <w:rFonts w:ascii="Times New Roman" w:hAnsi="Times New Roman"/>
          <w:sz w:val="20"/>
          <w:u w:val="single"/>
        </w:rPr>
        <w:t>provided</w:t>
      </w:r>
      <w:r>
        <w:rPr>
          <w:rFonts w:ascii="Times New Roman" w:hAnsi="Times New Roman"/>
          <w:sz w:val="20"/>
        </w:rPr>
        <w:t xml:space="preserve">, that for purposes of this Agreement: (i) such action shall not, and shall not be deemed to, change the number of days such Pool Receivable has remained unpaid from the date of the original due date related to such Pool Receivable, (ii) such action shall not alter the status of such Pool Receivable as a Delinquent Receivable or a Defaulted Receivable or limit the rights of any Secured Party under this Agreement or any other Transaction Document and (iii) if an Event of Default or a Financial Covenant Event has occurred and is continuing, each Servicer may take such action only upon the prior written consent of the Administrative Agent. The Borrower shall deliver to each Servicer and each Servicer shall hold for the benefit of the Administrative Agent (individually and for the benefit of each Credit Party), in accordance with their respective interests, all records and documents (including computer tapes or disks) with respect to each Pool Receivable. Notwithstanding anything to the contrary contained herein, if an Event of Default or a Financial Covenant Event has occurred and is continuing, the Administrative Agent may direct each Servicer to commence or settle any legal action to enforce collection of any Pool Receivable that is a Defaulted Receivable or to foreclose upon or repossess any Related Security with respect to any such Defaulted Receivable. </w:t>
      </w:r>
    </w:p>
    <w:p>
      <w:pPr>
        <w:pStyle w:val="TextBody"/>
        <w:bidi w:val="0"/>
        <w:spacing w:before="120" w:after="0"/>
        <w:jc w:val="left"/>
        <w:rPr>
          <w:rFonts w:ascii="Times New Roman" w:hAnsi="Times New Roman"/>
          <w:sz w:val="20"/>
        </w:rPr>
      </w:pPr>
      <w:r>
        <w:rPr>
          <w:rFonts w:ascii="Times New Roman" w:hAnsi="Times New Roman"/>
          <w:sz w:val="20"/>
        </w:rPr>
        <w:t>(b) Each Servicer shall, as soon as practicable following actual receipt of collected funds, turn over to the Borrower the collections of any indebtedness, less, if Sabre GLBL Inc., Sabre Global Technologies Limited</w:t>
      </w:r>
      <w:r>
        <w:rPr>
          <w:rFonts w:ascii="Times New Roman" w:hAnsi="Times New Roman"/>
          <w:color w:val="0000FF"/>
          <w:sz w:val="20"/>
          <w:u w:val="single"/>
          <w:bdr w:val="double" w:sz="2" w:space="1" w:color="000000"/>
        </w:rPr>
        <w:t xml:space="preserve">, Sabre Asia Pacific Pte. Ltd. </w:t>
      </w:r>
      <w:r>
        <w:rPr>
          <w:rFonts w:ascii="Times New Roman" w:hAnsi="Times New Roman"/>
          <w:sz w:val="20"/>
        </w:rPr>
        <w:t>or an Affiliate thereof is not each Servicer, all reasonable and appropriate out-of-pocket costs and expenses of such Servicer of servicing, collecting and administering such collections. Each Servicer, if other than Sabre GLBL Inc., Sabre Global Technologies Limited</w:t>
      </w:r>
      <w:r>
        <w:rPr>
          <w:rFonts w:ascii="Times New Roman" w:hAnsi="Times New Roman"/>
          <w:color w:val="0000FF"/>
          <w:sz w:val="20"/>
          <w:u w:val="single"/>
          <w:bdr w:val="double" w:sz="2" w:space="1" w:color="000000"/>
        </w:rPr>
        <w:t>, Sabre Asia Pacific Pte. Ltd.</w:t>
      </w:r>
      <w:r>
        <w:rPr>
          <w:rFonts w:ascii="Times New Roman" w:hAnsi="Times New Roman"/>
          <w:sz w:val="20"/>
        </w:rPr>
        <w:t xml:space="preserve"> or an Affiliate thereof, shall, as soon as practicable upon demand, deliver to the Borrower all records in its possession that evidence or relate to any indebtedness that is not a Pool Receivable, and copies of records in its possession that evidence or relate to any indebtedness that is a Pool Receivable.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u w:val="single"/>
        </w:rPr>
        <w:t>Each Servicer’s obligations hereunder shall terminate on the Final Payout Date</w:t>
      </w:r>
      <w:r>
        <w:rPr>
          <w:rFonts w:ascii="Times New Roman" w:hAnsi="Times New Roman"/>
          <w:sz w:val="20"/>
        </w:rPr>
        <w:t xml:space="preserve">. Promptly following the Final Payout Date, each Servicer shall deliver to the Borrower all books, records and related materials that the Borrower previously provided to each Servicer, or that have been obtained by each Servicer, in connection with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8.03 </w:t>
      </w:r>
      <w:r>
        <w:rPr>
          <w:rFonts w:ascii="Times New Roman" w:hAnsi="Times New Roman"/>
          <w:b/>
          <w:sz w:val="20"/>
          <w:u w:val="single"/>
        </w:rPr>
        <w:t>Collection Account Arrangements</w:t>
      </w:r>
      <w:r>
        <w:rPr>
          <w:rFonts w:ascii="Times New Roman" w:hAnsi="Times New Roman"/>
          <w:sz w:val="20"/>
        </w:rPr>
        <w:t xml:space="preserve">. Prior to the Closing Date, the Borrower shall have entered into Account Control Agreements with all of the Collection Account Banks and delivered executed counterparts of each to the Administrative Agent. Upon (x) the occurrence and during the continuance of a Potential Default, Event of Default or Financial Covenant Event or (y) upon five Business Days’ written notice to the Borrower, the occurrence and during the continuance of Level II Leverage Period, the Administrative Agent may (with the consent of the Required Lenders) and shall (upon the direction of the Required Lenders) at any time thereafter give notice to each Collection Account Bank that the Administrative Agent is exercising its rights under the Account Control Agreements to do any or all of the following: (a) to have the exclusive dominion and control of the Collection Accounts transferred to the Administrative Agent (for the benefit of the Secured Parties) and to exercise exclusive dominion and control over the funds deposited therein (for the benefit of the Secured Parties), (b) to have the proceeds that are sent to the respective Collection Accounts redirected pursuant to the Administrative Agent’s instructions rather than deposited in the applicable Collection Account and (c) to take any or all other actions permitted under the applicable Account Control Agreement. The Borrower hereby agrees that if the Administrative Agent at any time takes any action set forth in the preceding sentence, the Administrative Agent shall have exclusive control (for the benefit of the Secured Parties) of the proceeds (including Collections) of all Pool Receivables and the Borrower hereby further agrees to take any other action that the Administrative Agent may reasonably request to transfer such control. Any proceeds of Pool Receivables received by the Borrower or the Servicers thereafter shall be sent immediately to, or as otherwise instructed by,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SECTION 8.04 </w:t>
      </w:r>
      <w:r>
        <w:rPr>
          <w:rFonts w:ascii="Times New Roman" w:hAnsi="Times New Roman"/>
          <w:b/>
          <w:sz w:val="20"/>
          <w:u w:val="single"/>
        </w:rPr>
        <w:t>Enforcement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At any time following the occurrence and during the continuation of an Event of Default or a Financial Covenant Event: </w:t>
      </w:r>
    </w:p>
    <w:p>
      <w:pPr>
        <w:pStyle w:val="TextBody"/>
        <w:bidi w:val="0"/>
        <w:spacing w:before="120" w:after="0"/>
        <w:jc w:val="left"/>
        <w:rPr>
          <w:rFonts w:ascii="Times New Roman" w:hAnsi="Times New Roman"/>
          <w:sz w:val="20"/>
        </w:rPr>
      </w:pPr>
      <w:r>
        <w:rPr>
          <w:rFonts w:ascii="Times New Roman" w:hAnsi="Times New Roman"/>
          <w:sz w:val="20"/>
        </w:rPr>
        <w:t xml:space="preserve">(i) the Administrative Agent (at the Borrower’s expense) may direct the Obligors that payment of all amounts payable under any Pool Receivable is to be made directly to the Administrative Agent or its designee; </w:t>
      </w:r>
    </w:p>
    <w:p>
      <w:pPr>
        <w:pStyle w:val="TextBody"/>
        <w:bidi w:val="0"/>
        <w:spacing w:before="120" w:after="0"/>
        <w:jc w:val="left"/>
        <w:rPr>
          <w:rFonts w:ascii="Times New Roman" w:hAnsi="Times New Roman"/>
          <w:sz w:val="20"/>
        </w:rPr>
      </w:pPr>
      <w:r>
        <w:rPr>
          <w:rFonts w:ascii="Times New Roman" w:hAnsi="Times New Roman"/>
          <w:sz w:val="20"/>
        </w:rPr>
        <w:t xml:space="preserve">(ii) the Administrative Agent may instruct the Borrower or the Servicers to give notice of the Secured Parties’ interest in Pool Receivables to each Obligor, which notice shall direct that payments be made directly to the Administrative Agent or its designee (on behalf of the Secured Parties), and the Borrower or the Servicers, as the case may be, shall give such notice at the expense of the Borrower or the Servicers, as the case may be; </w:t>
      </w:r>
      <w:r>
        <w:rPr>
          <w:rFonts w:ascii="Times New Roman" w:hAnsi="Times New Roman"/>
          <w:sz w:val="20"/>
          <w:u w:val="single"/>
        </w:rPr>
        <w:t>provided</w:t>
      </w:r>
      <w:r>
        <w:rPr>
          <w:rFonts w:ascii="Times New Roman" w:hAnsi="Times New Roman"/>
          <w:sz w:val="20"/>
        </w:rPr>
        <w:t xml:space="preserve">, that if the Borrower or the Servicers, as the case may be, fails to so notify each Obligor within two (2) Business Days following instruction by the Administrative Agent, the Administrative Agent (at the Borrower’s or the Servicers’, as the case may be, expense) may so notify the Obligors; </w:t>
      </w:r>
    </w:p>
    <w:p>
      <w:pPr>
        <w:pStyle w:val="TextBody"/>
        <w:bidi w:val="0"/>
        <w:spacing w:before="120" w:after="0"/>
        <w:jc w:val="left"/>
        <w:rPr>
          <w:rFonts w:ascii="Times New Roman" w:hAnsi="Times New Roman"/>
          <w:sz w:val="20"/>
        </w:rPr>
      </w:pPr>
      <w:r>
        <w:rPr>
          <w:rFonts w:ascii="Times New Roman" w:hAnsi="Times New Roman"/>
          <w:sz w:val="20"/>
        </w:rPr>
        <w:t xml:space="preserve">(iii) the Administrative Agent may request the Servicers to, and upon such request the Servicers shall: (A) assemble all of the records necessary or desirable to collect the Pool Receivables and the Related Security, and transfer or license to a successor Servicer the use of all software necessary or desirable to collect the Pool Receivables and the Related Security, and make the same available to the Administrative Agent or its designee (for the benefit of the Secured Parties) at a place selected by the Administrative Agent and (B) segregate all cash, checks and other instruments received by it from time to time constituting Collections in a manner reasonably acceptable to the Administrative Agent and, promptly upon receipt, remit all such cash, checks and instruments, duly endorsed or with duly executed instruments of transfer, to the Administrative Agent or its designee;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the Administrative Agent may notify the Collection Account Banks that the Borrower and the Servicers will no longer have any access to the Collection Accounts; </w:t>
      </w:r>
    </w:p>
    <w:p>
      <w:pPr>
        <w:pStyle w:val="TextBody"/>
        <w:bidi w:val="0"/>
        <w:spacing w:before="120" w:after="0"/>
        <w:jc w:val="left"/>
        <w:rPr>
          <w:rFonts w:ascii="Times New Roman" w:hAnsi="Times New Roman"/>
          <w:sz w:val="20"/>
        </w:rPr>
      </w:pPr>
      <w:r>
        <w:rPr>
          <w:rFonts w:ascii="Times New Roman" w:hAnsi="Times New Roman"/>
          <w:sz w:val="20"/>
        </w:rPr>
        <w:t xml:space="preserve">(v) the Administrative Agent may (or, at the direction of the Required Lenders shall) replace the Person then acting as Servicer; and </w:t>
      </w:r>
    </w:p>
    <w:p>
      <w:pPr>
        <w:pStyle w:val="TextBody"/>
        <w:bidi w:val="0"/>
        <w:spacing w:before="120" w:after="0"/>
        <w:jc w:val="left"/>
        <w:rPr>
          <w:rFonts w:ascii="Times New Roman" w:hAnsi="Times New Roman"/>
          <w:sz w:val="20"/>
        </w:rPr>
      </w:pPr>
      <w:r>
        <w:rPr>
          <w:rFonts w:ascii="Times New Roman" w:hAnsi="Times New Roman"/>
          <w:sz w:val="20"/>
        </w:rPr>
        <w:t xml:space="preserve">(vi) the Administrative Agent may collect any amounts due from an Originator under any Transfer Agreement or the Performance Guarantor under the Performance Guaranty. </w:t>
      </w:r>
    </w:p>
    <w:p>
      <w:pPr>
        <w:pStyle w:val="TextBody"/>
        <w:bidi w:val="0"/>
        <w:spacing w:before="120" w:after="0"/>
        <w:jc w:val="left"/>
        <w:rPr>
          <w:rFonts w:ascii="Times New Roman" w:hAnsi="Times New Roman"/>
          <w:sz w:val="20"/>
        </w:rPr>
      </w:pPr>
      <w:r>
        <w:rPr>
          <w:rFonts w:ascii="Times New Roman" w:hAnsi="Times New Roman"/>
          <w:sz w:val="20"/>
        </w:rPr>
        <w:t xml:space="preserve">For the avoidance of doubt, the foregoing rights and remedies of the Administrative Agent upon an Event of Default or a Financial Covenant Event are in addition to and not exclusive of the rights and remedies contained herein and under the other Transaction Documents. </w:t>
      </w:r>
    </w:p>
    <w:p>
      <w:pPr>
        <w:pStyle w:val="TextBody"/>
        <w:bidi w:val="0"/>
        <w:spacing w:before="120" w:after="0"/>
        <w:jc w:val="left"/>
        <w:rPr>
          <w:rFonts w:ascii="Times New Roman" w:hAnsi="Times New Roman"/>
          <w:sz w:val="20"/>
        </w:rPr>
      </w:pPr>
      <w:r>
        <w:rPr>
          <w:rFonts w:ascii="Times New Roman" w:hAnsi="Times New Roman"/>
          <w:sz w:val="20"/>
        </w:rPr>
        <w:t xml:space="preserve">(b) The Borrower hereby authorizes the Administrative Agent (on behalf of the Secured Parties), and irrevocably appoints the Administrative Agent as its attorney-in-fact with full power of substitution and with full authority in the place and stead of the Borrower, which appointment is coupled with an interest, to take any and all steps in the name of the Borrower and on behalf of the Borrower necessary or desirable, in the reasonable determination of the Administrative Agent, after the occurrence and during the continuation of an Event of Default or a Financial Covenant Event, to collect any and all amounts or portions thereof due under any and all Collateral, including endorsing the name of the Borrower on checks and other instruments representing Collections and enforcing such Collateral. Notwithstanding anything to the contrary contained in this subsection, none of the powers conferred upon such attorney-in-fact pursuant to the preceding sentence shall subject such attorney-in-fact to any liability if any action taken by it shall prove to be inadequate or invalid, nor shall they confer any obligations upon such attorney-in-fact in any manner whatsoever. </w:t>
      </w:r>
    </w:p>
    <w:p>
      <w:pPr>
        <w:pStyle w:val="TextBody"/>
        <w:bidi w:val="0"/>
        <w:spacing w:before="120" w:after="0"/>
        <w:jc w:val="left"/>
        <w:rPr>
          <w:rFonts w:ascii="Times New Roman" w:hAnsi="Times New Roman"/>
          <w:sz w:val="20"/>
        </w:rPr>
      </w:pPr>
      <w:r>
        <w:rPr>
          <w:rFonts w:ascii="Times New Roman" w:hAnsi="Times New Roman"/>
          <w:sz w:val="20"/>
        </w:rPr>
        <w:t xml:space="preserve">(c) Each Servicer hereby authorizes the Administrative Agent (on behalf of the Secured Parties), and irrevocably appoints the Administrative Agent as its attorney-in-fact with full power of substitution and with full authority in the place and stead of each Servicer, which appointment is coupled with an interest, to take any and all steps in the name of each Servicer and on behalf of each Servicer necessary or desirable, in the reasonable determination of the Administrative Agent, after the occurrence and during the continuation of an Event of Default or a Financial Covenant Event, to collect any and all amounts or portions thereof due under any and all Collateral, including endorsing the name of each Servicer on checks and other instruments representing Collections and enforcing such Collateral. Notwithstanding anything to the contrary contained in this subsection, none of the powers conferred upon such attorney-in-fact pursuant to the preceding sentence shall subject such attorney-in-fact to any liability if any action taken by it shall prove to be inadequate or invalid, nor shall they confer any obligations upon such attorney-in-fact in any manner whatsoever.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8.05 </w:t>
      </w:r>
      <w:r>
        <w:rPr>
          <w:rFonts w:ascii="Times New Roman" w:hAnsi="Times New Roman"/>
          <w:b/>
          <w:sz w:val="20"/>
          <w:u w:val="single"/>
        </w:rPr>
        <w:t>Responsibilities of the Borrower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u w:val="single"/>
        </w:rPr>
        <w:t>Anything herein to the contrary notwithstanding, the Borrower shall</w:t>
      </w:r>
      <w:r>
        <w:rPr>
          <w:rFonts w:ascii="Times New Roman" w:hAnsi="Times New Roman"/>
          <w:sz w:val="20"/>
        </w:rPr>
        <w:t xml:space="preserve">: (i) perform all of its obligations, if any, under the Contracts related to the Pool Receivables to the same extent as if interests in such Pool Receivables had not been transferred hereunder, and the exercise by the Administrative Agent, or any other Credit Party of their respective rights hereunder shall not relieve the Borrower from such obligations and (ii) pay when due any taxes, including any sales taxes payable in connection with the Pool Receivables and their creation and satisfaction. None of the Credit Parties shall have any obligation or liability with respect to any Collateral, nor shall any of them be obligated to perform any of the obligations of the Borrower, any Servicer or any Originator thereunder. </w:t>
      </w:r>
    </w:p>
    <w:p>
      <w:pPr>
        <w:pStyle w:val="TextBody"/>
        <w:bidi w:val="0"/>
        <w:spacing w:before="120" w:after="0"/>
        <w:jc w:val="left"/>
        <w:rPr>
          <w:rFonts w:ascii="Times New Roman" w:hAnsi="Times New Roman"/>
          <w:sz w:val="20"/>
        </w:rPr>
      </w:pPr>
      <w:r>
        <w:rPr>
          <w:rFonts w:ascii="Times New Roman" w:hAnsi="Times New Roman"/>
          <w:sz w:val="20"/>
        </w:rPr>
        <w:t>(b) Each of Sabre GLBL Inc.</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Sabre Global Technologies Limited </w:t>
      </w:r>
      <w:r>
        <w:rPr>
          <w:rFonts w:ascii="Times New Roman" w:hAnsi="Times New Roman"/>
          <w:color w:val="0000FF"/>
          <w:sz w:val="20"/>
          <w:u w:val="single"/>
          <w:bdr w:val="double" w:sz="2" w:space="1" w:color="000000"/>
        </w:rPr>
        <w:t xml:space="preserve">and Sabre Asia Pacific Pte. Ltd. </w:t>
      </w:r>
      <w:r>
        <w:rPr>
          <w:rFonts w:ascii="Times New Roman" w:hAnsi="Times New Roman"/>
          <w:sz w:val="20"/>
        </w:rPr>
        <w:t>hereby irrevocably agrees that if at any time it shall cease to be each Servicer hereunder, it shall act (if the then-current Servicer so requests) as the data-processing agent of each Servicer and, in such capacity, each of Sabre GLBL Inc.</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Sabre Global Technologies Limited </w:t>
      </w:r>
      <w:r>
        <w:rPr>
          <w:rFonts w:ascii="Times New Roman" w:hAnsi="Times New Roman"/>
          <w:color w:val="0000FF"/>
          <w:sz w:val="20"/>
          <w:u w:val="single"/>
          <w:bdr w:val="double" w:sz="2" w:space="1" w:color="000000"/>
        </w:rPr>
        <w:t xml:space="preserve">and Sabre Asia Pacific Pte. Ltd. </w:t>
      </w:r>
      <w:r>
        <w:rPr>
          <w:rFonts w:ascii="Times New Roman" w:hAnsi="Times New Roman"/>
          <w:sz w:val="20"/>
        </w:rPr>
        <w:t>shall conduct the data-processing functions of the administration of the Receivables and the Collections thereon in substantially the same way that each of Sabre GLBL Inc.</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Sabre Global Technologies Limited </w:t>
      </w:r>
      <w:r>
        <w:rPr>
          <w:rFonts w:ascii="Times New Roman" w:hAnsi="Times New Roman"/>
          <w:color w:val="0000FF"/>
          <w:sz w:val="20"/>
          <w:u w:val="single"/>
          <w:bdr w:val="double" w:sz="2" w:space="1" w:color="000000"/>
        </w:rPr>
        <w:t>and Sabre Asia Pacific Pte. Ltd.</w:t>
      </w:r>
      <w:r>
        <w:rPr>
          <w:rFonts w:ascii="Times New Roman" w:hAnsi="Times New Roman"/>
          <w:sz w:val="20"/>
        </w:rPr>
        <w:t xml:space="preserve"> conducted such data-processing functions while it acted as each Servicer. In connection with any such processing functions, the Borrower shall pay to each of Sabre GLBL Inc.</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Sabre Global Technologies Limited </w:t>
      </w:r>
      <w:r>
        <w:rPr>
          <w:rFonts w:ascii="Times New Roman" w:hAnsi="Times New Roman"/>
          <w:color w:val="0000FF"/>
          <w:sz w:val="20"/>
          <w:u w:val="single"/>
          <w:bdr w:val="double" w:sz="2" w:space="1" w:color="000000"/>
        </w:rPr>
        <w:t>and Sabre Asia Pacific Pte. Ltd.</w:t>
      </w:r>
      <w:r>
        <w:rPr>
          <w:rFonts w:ascii="Times New Roman" w:hAnsi="Times New Roman"/>
          <w:sz w:val="20"/>
        </w:rPr>
        <w:t xml:space="preserve"> its reasonable out-of-pocket costs and expenses from the Borrower’s own funds (subject to the priority of payments set forth in </w:t>
      </w:r>
      <w:r>
        <w:rPr>
          <w:rFonts w:ascii="Times New Roman" w:hAnsi="Times New Roman"/>
          <w:sz w:val="20"/>
          <w:u w:val="single"/>
        </w:rPr>
        <w:t>Section 3.01(a)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8.06 </w:t>
      </w:r>
      <w:r>
        <w:rPr>
          <w:rFonts w:ascii="Times New Roman" w:hAnsi="Times New Roman"/>
          <w:b/>
          <w:sz w:val="20"/>
          <w:u w:val="single"/>
        </w:rPr>
        <w:t>Servicing Fee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clause (b)</w:t>
      </w:r>
      <w:r>
        <w:rPr>
          <w:rFonts w:ascii="Times New Roman" w:hAnsi="Times New Roman"/>
          <w:sz w:val="20"/>
        </w:rPr>
        <w:t> below, the Borrower shall pay the U.S. Servicer a fee (the “</w:t>
      </w:r>
      <w:r>
        <w:rPr>
          <w:rFonts w:ascii="Times New Roman" w:hAnsi="Times New Roman"/>
          <w:sz w:val="20"/>
          <w:u w:val="single"/>
        </w:rPr>
        <w:t>Servicing Fee</w:t>
      </w:r>
      <w:r>
        <w:rPr>
          <w:rFonts w:ascii="Times New Roman" w:hAnsi="Times New Roman"/>
          <w:sz w:val="20"/>
        </w:rPr>
        <w:t xml:space="preserve">”) equal to the product of the Servicing Fee Rate multiplied by the daily average aggregate Outstanding Balance of the Receivables originated by the Originators (determined for each day based on the most recent Information Package then available). Servicing Fees with respect to Receivables originated by the Originators shall accrue and be payable in Dollars. Accrued Servicing Fees shall be payable from Collections to the extent of available funds in accordance with </w:t>
      </w:r>
      <w:r>
        <w:rPr>
          <w:rFonts w:ascii="Times New Roman" w:hAnsi="Times New Roman"/>
          <w:sz w:val="20"/>
          <w:u w:val="single"/>
        </w:rPr>
        <w:t>Section 3.01(a)</w:t>
      </w:r>
      <w:r>
        <w:rPr>
          <w:rFonts w:ascii="Times New Roman" w:hAnsi="Times New Roman"/>
          <w:sz w:val="20"/>
        </w:rPr>
        <w:t xml:space="preserve">. The Servicing Fee shall be allocated </w:t>
      </w:r>
      <w:r>
        <w:rPr>
          <w:rFonts w:ascii="Times New Roman" w:hAnsi="Times New Roman"/>
          <w:strike/>
          <w:color w:val="FF0000"/>
          <w:sz w:val="20"/>
        </w:rPr>
        <w:t>between</w:t>
      </w:r>
      <w:r>
        <w:rPr>
          <w:rFonts w:ascii="Times New Roman" w:hAnsi="Times New Roman"/>
          <w:color w:val="0000FF"/>
          <w:sz w:val="20"/>
          <w:u w:val="single"/>
          <w:bdr w:val="double" w:sz="2" w:space="1" w:color="000000"/>
        </w:rPr>
        <w:t>among</w:t>
      </w:r>
      <w:r>
        <w:rPr>
          <w:rFonts w:ascii="Times New Roman" w:hAnsi="Times New Roman"/>
          <w:sz w:val="20"/>
        </w:rPr>
        <w:t xml:space="preserve"> the U.S. Servicer</w:t>
      </w:r>
      <w:r>
        <w:rPr>
          <w:rFonts w:ascii="Times New Roman" w:hAnsi="Times New Roman"/>
          <w:color w:val="0000FF"/>
          <w:sz w:val="20"/>
          <w:u w:val="single"/>
          <w:bdr w:val="double" w:sz="2" w:space="1" w:color="000000"/>
        </w:rPr>
        <w:t>, UK Servicer</w:t>
      </w:r>
      <w:r>
        <w:rPr>
          <w:rFonts w:ascii="Times New Roman" w:hAnsi="Times New Roman"/>
          <w:sz w:val="20"/>
        </w:rPr>
        <w:t xml:space="preserve"> and the </w:t>
      </w:r>
      <w:r>
        <w:rPr>
          <w:rFonts w:ascii="Times New Roman" w:hAnsi="Times New Roman"/>
          <w:strike/>
          <w:color w:val="FF0000"/>
          <w:sz w:val="20"/>
        </w:rPr>
        <w:t>U.K.</w:t>
      </w:r>
      <w:r>
        <w:rPr>
          <w:rFonts w:ascii="Times New Roman" w:hAnsi="Times New Roman"/>
          <w:color w:val="0000FF"/>
          <w:sz w:val="20"/>
          <w:u w:val="single"/>
          <w:bdr w:val="double" w:sz="2" w:space="1" w:color="000000"/>
        </w:rPr>
        <w:t>SG</w:t>
      </w:r>
      <w:r>
        <w:rPr>
          <w:rFonts w:ascii="Times New Roman" w:hAnsi="Times New Roman"/>
          <w:sz w:val="20"/>
        </w:rPr>
        <w:t xml:space="preserve"> Servicer as agreed </w:t>
      </w:r>
      <w:r>
        <w:rPr>
          <w:rFonts w:ascii="Times New Roman" w:hAnsi="Times New Roman"/>
          <w:strike/>
          <w:color w:val="FF0000"/>
          <w:sz w:val="20"/>
        </w:rPr>
        <w:t>between</w:t>
      </w:r>
      <w:r>
        <w:rPr>
          <w:rFonts w:ascii="Times New Roman" w:hAnsi="Times New Roman"/>
          <w:color w:val="0000FF"/>
          <w:sz w:val="20"/>
          <w:u w:val="single"/>
          <w:bdr w:val="double" w:sz="2" w:space="1" w:color="000000"/>
        </w:rPr>
        <w:t>among</w:t>
      </w:r>
      <w:r>
        <w:rPr>
          <w:rFonts w:ascii="Times New Roman" w:hAnsi="Times New Roman"/>
          <w:color w:val="0000FF"/>
          <w:sz w:val="20"/>
        </w:rPr>
        <w:t xml:space="preserve"> </w:t>
      </w:r>
      <w:r>
        <w:rPr>
          <w:rFonts w:ascii="Times New Roman" w:hAnsi="Times New Roman"/>
          <w:sz w:val="20"/>
        </w:rPr>
        <w:t>the U.S. Servicer</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the </w:t>
      </w:r>
      <w:r>
        <w:rPr>
          <w:rFonts w:ascii="Times New Roman" w:hAnsi="Times New Roman"/>
          <w:strike/>
          <w:color w:val="FF0000"/>
          <w:sz w:val="20"/>
        </w:rPr>
        <w:t>U.K.</w:t>
      </w:r>
      <w:r>
        <w:rPr>
          <w:rFonts w:ascii="Times New Roman" w:hAnsi="Times New Roman"/>
          <w:color w:val="0000FF"/>
          <w:sz w:val="20"/>
          <w:u w:val="single"/>
          <w:bdr w:val="double" w:sz="2" w:space="1" w:color="000000"/>
        </w:rPr>
        <w:t>UK Servicer and SG</w:t>
      </w:r>
      <w:r>
        <w:rPr>
          <w:rFonts w:ascii="Times New Roman" w:hAnsi="Times New Roman"/>
          <w:sz w:val="20"/>
        </w:rPr>
        <w:t xml:space="preserve"> Servicer.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u w:val="single"/>
        </w:rPr>
        <w:t>If the U.S</w:t>
      </w:r>
      <w:r>
        <w:rPr>
          <w:rFonts w:ascii="Times New Roman" w:hAnsi="Times New Roman"/>
          <w:sz w:val="20"/>
        </w:rPr>
        <w:t xml:space="preserve">. Servicer ceases to be Sabre or an Affiliate thereof, the Servicing Fee shall be the greater of: (i) the amount calculated pursuant to </w:t>
      </w:r>
      <w:r>
        <w:rPr>
          <w:rFonts w:ascii="Times New Roman" w:hAnsi="Times New Roman"/>
          <w:sz w:val="20"/>
          <w:u w:val="single"/>
        </w:rPr>
        <w:t>clause (a)</w:t>
      </w:r>
      <w:r>
        <w:rPr>
          <w:rFonts w:ascii="Times New Roman" w:hAnsi="Times New Roman"/>
          <w:sz w:val="20"/>
        </w:rPr>
        <w:t xml:space="preserve"> above and (ii) an alternative amount agreed between the Administrative Agent and the successor Servicer in connection with the performance of its obligations as Servicer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8.07 </w:t>
      </w:r>
      <w:r>
        <w:rPr>
          <w:rFonts w:ascii="Times New Roman" w:hAnsi="Times New Roman"/>
          <w:b/>
          <w:sz w:val="20"/>
          <w:u w:val="single"/>
        </w:rPr>
        <w:t>Credit Insurance Policies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At all times while (x) the Borrower is maintaining any Credit Insurance Policy, (y) any Pool Receivable is being reported in any Pool Report as an Insured Receivable or (z) any Pool Receivable is being included in the Net Receivables Pool Balance as an Insured Receivable: </w:t>
      </w:r>
    </w:p>
    <w:p>
      <w:pPr>
        <w:pStyle w:val="TextBody"/>
        <w:bidi w:val="0"/>
        <w:spacing w:before="120" w:after="0"/>
        <w:jc w:val="left"/>
        <w:rPr>
          <w:rFonts w:ascii="Times New Roman" w:hAnsi="Times New Roman"/>
          <w:sz w:val="20"/>
        </w:rPr>
      </w:pPr>
      <w:r>
        <w:rPr>
          <w:rFonts w:ascii="Times New Roman" w:hAnsi="Times New Roman"/>
          <w:sz w:val="20"/>
        </w:rPr>
        <w:t xml:space="preserve">(i) the Borrower shall maintain each relevant Credit Insurance Policy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(ii) the Borrower shall pay all premiums and other amounts due by the Borrower from time to time under each such Credit Insurance Policy when due in accordance with the terms thereof; </w:t>
      </w:r>
    </w:p>
    <w:p>
      <w:pPr>
        <w:pStyle w:val="TextBody"/>
        <w:bidi w:val="0"/>
        <w:spacing w:before="120" w:after="0"/>
        <w:jc w:val="left"/>
        <w:rPr>
          <w:rFonts w:ascii="Times New Roman" w:hAnsi="Times New Roman"/>
          <w:sz w:val="20"/>
        </w:rPr>
      </w:pPr>
      <w:r>
        <w:rPr>
          <w:rFonts w:ascii="Times New Roman" w:hAnsi="Times New Roman"/>
          <w:sz w:val="20"/>
        </w:rPr>
        <w:t xml:space="preserve">(iii) the Borrower and the Servicers shall refrain from taking any action or omitting to take any action which would reasonably be expected to prejudice or limit the Borrower’s or the Administrative Agent’s rights to payment under any such Credit Insurance Policy; </w:t>
      </w:r>
    </w:p>
    <w:p>
      <w:pPr>
        <w:pStyle w:val="TextBody"/>
        <w:bidi w:val="0"/>
        <w:spacing w:before="120" w:after="0"/>
        <w:jc w:val="left"/>
        <w:rPr>
          <w:rFonts w:ascii="Times New Roman" w:hAnsi="Times New Roman"/>
          <w:sz w:val="20"/>
        </w:rPr>
      </w:pPr>
      <w:r>
        <w:rPr>
          <w:rFonts w:ascii="Times New Roman" w:hAnsi="Times New Roman"/>
          <w:sz w:val="20"/>
        </w:rPr>
        <w:t xml:space="preserve">(iv) the Borrower and the Servicers shall enforce the obligations of the applicable Credit Insurer under each such Credit Insurance Policy; </w:t>
      </w:r>
    </w:p>
    <w:p>
      <w:pPr>
        <w:pStyle w:val="TextBody"/>
        <w:bidi w:val="0"/>
        <w:spacing w:before="120" w:after="0"/>
        <w:jc w:val="left"/>
        <w:rPr>
          <w:rFonts w:ascii="Times New Roman" w:hAnsi="Times New Roman"/>
          <w:sz w:val="20"/>
        </w:rPr>
      </w:pPr>
      <w:r>
        <w:rPr>
          <w:rFonts w:ascii="Times New Roman" w:hAnsi="Times New Roman"/>
          <w:sz w:val="20"/>
        </w:rPr>
        <w:t xml:space="preserve">(v) the Borrower and the Servicers shall maintain all records and documents that may be necessary to make claims for reimbursement under each such Credit Insurance Policy; </w:t>
      </w:r>
    </w:p>
    <w:p>
      <w:pPr>
        <w:pStyle w:val="TextBody"/>
        <w:bidi w:val="0"/>
        <w:spacing w:before="120" w:after="0"/>
        <w:jc w:val="left"/>
        <w:rPr>
          <w:rFonts w:ascii="Times New Roman" w:hAnsi="Times New Roman"/>
          <w:sz w:val="20"/>
        </w:rPr>
      </w:pPr>
      <w:r>
        <w:rPr>
          <w:rFonts w:ascii="Times New Roman" w:hAnsi="Times New Roman"/>
          <w:sz w:val="20"/>
        </w:rPr>
        <w:t xml:space="preserve">(vi) the Borrower shall, and the Servicers shall cause the Borrower to, perform all its other obligations under each such Credit Insurance Policy in accordance with the terms thereof (including, without limitation, delivering information regarding the relevant Pool Receivables and notices of insolvency with respect to Obligors when required pursuant to the terms of each such Credit Insurance Policy); </w:t>
      </w:r>
    </w:p>
    <w:p>
      <w:pPr>
        <w:pStyle w:val="TextBody"/>
        <w:bidi w:val="0"/>
        <w:spacing w:before="120" w:after="0"/>
        <w:jc w:val="left"/>
        <w:rPr>
          <w:rFonts w:ascii="Times New Roman" w:hAnsi="Times New Roman"/>
          <w:sz w:val="20"/>
        </w:rPr>
      </w:pPr>
      <w:r>
        <w:rPr>
          <w:rFonts w:ascii="Times New Roman" w:hAnsi="Times New Roman"/>
          <w:sz w:val="20"/>
        </w:rPr>
        <w:t xml:space="preserve">(vii) the Borrower and Servicers shall advise promptly the Administrative Agent of any payment the Borrower receives directly under any Credit Insurance Policy, any denial of coverage under any Credit Insurance Policy, any cancelation of any Credit Insurance Policy or any other information received in connection with any Credit Insurance Policy which is material to the payment of any claim thereunder; </w:t>
      </w:r>
    </w:p>
    <w:p>
      <w:pPr>
        <w:pStyle w:val="TextBody"/>
        <w:bidi w:val="0"/>
        <w:spacing w:before="120" w:after="0"/>
        <w:jc w:val="left"/>
        <w:rPr>
          <w:rFonts w:ascii="Times New Roman" w:hAnsi="Times New Roman"/>
          <w:sz w:val="20"/>
        </w:rPr>
      </w:pPr>
      <w:r>
        <w:rPr>
          <w:rFonts w:ascii="Times New Roman" w:hAnsi="Times New Roman"/>
          <w:sz w:val="20"/>
        </w:rPr>
        <w:t xml:space="preserve">(viii) Neither the Borrower nor Servicers shall amend, modify or waive (or consent to any such amendment, modification or waiver of) any provision of any Credit Insurance Policy without the Administrative Agent’s prior written consent; and </w:t>
      </w:r>
    </w:p>
    <w:p>
      <w:pPr>
        <w:pStyle w:val="TextBody"/>
        <w:bidi w:val="0"/>
        <w:spacing w:before="120" w:after="0"/>
        <w:jc w:val="left"/>
        <w:rPr>
          <w:rFonts w:ascii="Times New Roman" w:hAnsi="Times New Roman"/>
          <w:sz w:val="20"/>
        </w:rPr>
      </w:pPr>
      <w:r>
        <w:rPr>
          <w:rFonts w:ascii="Times New Roman" w:hAnsi="Times New Roman"/>
          <w:sz w:val="20"/>
        </w:rPr>
        <w:t xml:space="preserve">(ix) The Borrower and Servicers shall deliver any additional instruments, certificates and documents, provide such other information and take such other actions as may be necessary or desirable, in the reasonable opinion of the Administrative Agent, to give further assurances of any of the rights granted or provided for herein or under any Credit Insurance Policy (including, without limitation, providing copies of invoices, purchase orders, and the proof of delivery of products as may be requested by the insurer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the Borrower fails to pay any premium or other amount due under any Credit Insurance Policy, the Administrative Agent may (in its discretion) pay such premium or other amount from the Collateral or from its own funds in order to keep such Credit Insurance Policy in force. Any amount so paid by the Administrative Agent from its own funds shall constitute a Borrower Indemnified Amount payable by the Borrower to the Administrative Agent hereunder. </w:t>
      </w:r>
    </w:p>
    <w:p>
      <w:pPr>
        <w:pStyle w:val="TextBody"/>
        <w:bidi w:val="0"/>
        <w:spacing w:before="120" w:after="0"/>
        <w:jc w:val="left"/>
        <w:rPr>
          <w:rFonts w:ascii="Times New Roman" w:hAnsi="Times New Roman"/>
          <w:sz w:val="20"/>
        </w:rPr>
      </w:pPr>
      <w:r>
        <w:rPr>
          <w:rFonts w:ascii="Times New Roman" w:hAnsi="Times New Roman"/>
          <w:sz w:val="20"/>
        </w:rPr>
        <w:t xml:space="preserve">(c) As to any Insured Receivables only, in the event that any Obligor defaults on the payment of any of its Pool Receivables, becomes subject to an Insolvency Proceeding or becomes subject to any other event that gives rise to a claim for reimbursement under a Credit Insurance Policy, the Borrower and the Servicers shall, promptly (but not later than the later of (x) ten (10) Business Days after such event or (y) the first date on which such a claim may be filed pursuant to the terms of such Credit Insurance Policy), file a claim for such reimbursement (with a copy thereof to the Administrative Agent) in accordance with the terms of such Credit Insurance Policy and shall take any other actions required under the terms of such Credit Insurance Policy to obtain such reimbursement (including, without limitation, providing the applicable Credit Insurer with itemized statements, invoices, bills of lading, purchase orders, summaries of collections efforts, evidence of debt or other documentation that may be required under the terms of such Credit Insurance Policy). The Borrower and the Servicers shall cause any amounts paid in respect of any Pool Receivable (or losses thereon) by a Credit Insurer under any Credit Insurance Policy to be paid directly to a Collection Account and to be applied as a Collection in accordance with the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In the event that a Credit Insurer pays a claim under a Credit Insurance Policy with respect to a Pool Receivable and the Borrower is required to subrogate it rights, claims, guaranties, security, collateral or defenses to such Credit Insurer in respect of such Pool Receivable, the Borrower shall (and the Servicers shall cause Borrower to) so subrogate such rights, claims, guaranties, security, collateral or defenses in accordance with the terms of such Credit Insurance Policy. Simultaneously with receipt of such a payment in a Collection Account and upon such subrogation, the Administrative Agent shall be automatically deemed to have released to the Borrower any ownership or security interest it may have hereunder (on behalf of itself and the Lenders) in such rights, claims, guaranties, security, collateral or defenses so subrogated, to the extent necessary to permit such subrogation and shall execute such documents to evidence the same as shall be reasonably requested by the Borrower, in each case at the sole expense of the Borrower;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Administrative Agent shall not be deemed to have released any such ownership or security interest it may have in related rights under such Credit Insurance Policy (including, without limitation, any right of the Borrower to receive ratable or other allocations of Collections or other recoveries in respect of the related Pool Receivables). </w:t>
      </w:r>
    </w:p>
    <w:p>
      <w:pPr>
        <w:pStyle w:val="TextBody"/>
        <w:bidi w:val="0"/>
        <w:spacing w:before="120" w:after="0"/>
        <w:jc w:val="left"/>
        <w:rPr>
          <w:rFonts w:ascii="Times New Roman" w:hAnsi="Times New Roman"/>
          <w:sz w:val="20"/>
        </w:rPr>
      </w:pPr>
      <w:r>
        <w:rPr>
          <w:rFonts w:ascii="Times New Roman" w:hAnsi="Times New Roman"/>
          <w:sz w:val="20"/>
        </w:rPr>
        <w:t xml:space="preserve">(e) If any Credit Insurance Policy ceases to be Eligible Credit Insurance, the Borrower and the Servicers shall furnish to the Administrative Agent and each Lender written notice thereof, together with a statement of the actions the Borrower plans to take to remedy such situation, if any, promptly but not later than five (5) Business Days thereafter. If any Credit Insurance Policy no longer constitutes Eligible Credit Insurance, the Termination Date has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occurred, no Event of Default or Financial Covenant Event is continuing and no Borrowing Base Deficit exists, then the Borrower may terminate such Credit Insurance Policy or permit such Credit Insurance Policy to lapse. The Borrower shall furnish to the Administrative Agent and each Lender written notice of any such termination or lapse and shall promptly notify the Administrative Agent when such termination or lapse has occurred. </w:t>
      </w:r>
    </w:p>
    <w:p>
      <w:pPr>
        <w:pStyle w:val="TextBody"/>
        <w:bidi w:val="0"/>
        <w:spacing w:before="120" w:after="0"/>
        <w:jc w:val="left"/>
        <w:rPr>
          <w:rFonts w:ascii="Times New Roman" w:hAnsi="Times New Roman"/>
          <w:sz w:val="20"/>
        </w:rPr>
      </w:pPr>
      <w:r>
        <w:rPr>
          <w:rFonts w:ascii="Times New Roman" w:hAnsi="Times New Roman"/>
          <w:sz w:val="20"/>
        </w:rPr>
        <w:t xml:space="preserve">(f) Any Collections received by the Administrative Agent pursuant to any Credit Insurance Policy (including as an additional insured thereunder) shall be distributed in accordance with the priority of payments set forth in </w:t>
      </w:r>
      <w:r>
        <w:rPr>
          <w:rFonts w:ascii="Times New Roman" w:hAnsi="Times New Roman"/>
          <w:sz w:val="20"/>
          <w:u w:val="single"/>
        </w:rPr>
        <w:t>Section 3.01(a)</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240" w:after="0"/>
        <w:jc w:val="center"/>
        <w:rPr>
          <w:rFonts w:ascii="Times New Roman" w:hAnsi="Times New Roman"/>
          <w:b/>
          <w:sz w:val="20"/>
        </w:rPr>
      </w:pPr>
      <w:r>
        <w:rPr>
          <w:rFonts w:ascii="Times New Roman" w:hAnsi="Times New Roman"/>
          <w:b/>
          <w:sz w:val="20"/>
        </w:rPr>
        <w:t xml:space="preserve">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b/>
          <w:sz w:val="20"/>
          <w:u w:val="single"/>
        </w:rPr>
        <w:t>Events of Default</w:t>
      </w:r>
      <w:r>
        <w:rPr>
          <w:rFonts w:ascii="Times New Roman" w:hAnsi="Times New Roman"/>
          <w:sz w:val="20"/>
        </w:rPr>
        <w:t>. An “</w:t>
      </w:r>
      <w:r>
        <w:rPr>
          <w:rFonts w:ascii="Times New Roman" w:hAnsi="Times New Roman"/>
          <w:sz w:val="20"/>
          <w:u w:val="single"/>
        </w:rPr>
        <w:t>Event of Default</w:t>
      </w:r>
      <w:r>
        <w:rPr>
          <w:rFonts w:ascii="Times New Roman" w:hAnsi="Times New Roman"/>
          <w:sz w:val="20"/>
        </w:rPr>
        <w:t xml:space="preserve">” means the occurrence or existence of any one or more of the following events or conditions (whatever the reason therefor and whether voluntary, involuntary or effected by operation of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(a) any Borrower-Related Party shall fail to make when due any payment or deposit to be made by it under this Agreement or any other Transaction Document and such failure shall continue unremedied for two (2) Business Days; </w:t>
      </w:r>
    </w:p>
    <w:p>
      <w:pPr>
        <w:pStyle w:val="TextBody"/>
        <w:bidi w:val="0"/>
        <w:spacing w:before="120" w:after="0"/>
        <w:jc w:val="left"/>
        <w:rPr>
          <w:rFonts w:ascii="Times New Roman" w:hAnsi="Times New Roman"/>
          <w:sz w:val="20"/>
        </w:rPr>
      </w:pPr>
      <w:r>
        <w:rPr>
          <w:rFonts w:ascii="Times New Roman" w:hAnsi="Times New Roman"/>
          <w:sz w:val="20"/>
        </w:rPr>
        <w:t xml:space="preserve">(b) any Borrower-Related Party shall fail to perform or observe any term, covenant or agreement under this Agreement or any other Transaction Document to be performed or observed by such Borrower-Related Party (other than any such failure which would constitute an Event of Default under any other paragraph, clause or sub-clause of this </w:t>
      </w:r>
      <w:r>
        <w:rPr>
          <w:rFonts w:ascii="Times New Roman" w:hAnsi="Times New Roman"/>
          <w:sz w:val="20"/>
          <w:u w:val="single"/>
        </w:rPr>
        <w:t>Section 9.01</w:t>
      </w:r>
      <w:r>
        <w:rPr>
          <w:rFonts w:ascii="Times New Roman" w:hAnsi="Times New Roman"/>
          <w:sz w:val="20"/>
        </w:rPr>
        <w:t xml:space="preserve">), and such failure, solely to the extent capable of cure, shall continue for thirty (30) days after the earlier of any Borrower-related Party’s knowledge or notice thereof; </w:t>
      </w:r>
    </w:p>
    <w:p>
      <w:pPr>
        <w:pStyle w:val="TextBody"/>
        <w:bidi w:val="0"/>
        <w:spacing w:before="120" w:after="0"/>
        <w:jc w:val="left"/>
        <w:rPr>
          <w:rFonts w:ascii="Times New Roman" w:hAnsi="Times New Roman"/>
          <w:sz w:val="20"/>
        </w:rPr>
      </w:pPr>
      <w:r>
        <w:rPr>
          <w:rFonts w:ascii="Times New Roman" w:hAnsi="Times New Roman"/>
          <w:sz w:val="20"/>
        </w:rPr>
        <w:t xml:space="preserve">(c) any representation or warranty made or deemed made by any Borrower-Related Party (or any of its respective officers) under or in connection with this Agreement or any other Transaction Document or any information or report delivered by any Borrower-Related Party pursuant to this Agreement or any other Transaction Document, shall prove to have been incorrect or untrue in any material respect when made or deemed made or delivered and, solely if event or circumstance that caused the representation or warranty to be incorrect or untrue is capable of being cured, such cure has not occurred for thirty (30) days after the earlier of any Borrower-related Party’s knowledge or notice thereof; </w:t>
      </w:r>
    </w:p>
    <w:p>
      <w:pPr>
        <w:pStyle w:val="TextBody"/>
        <w:bidi w:val="0"/>
        <w:spacing w:before="120" w:after="0"/>
        <w:jc w:val="left"/>
        <w:rPr>
          <w:rFonts w:ascii="Times New Roman" w:hAnsi="Times New Roman"/>
          <w:sz w:val="20"/>
        </w:rPr>
      </w:pPr>
      <w:r>
        <w:rPr>
          <w:rFonts w:ascii="Times New Roman" w:hAnsi="Times New Roman"/>
          <w:sz w:val="20"/>
        </w:rPr>
        <w:t xml:space="preserve">(d) the Borrower or the Servicers shall fail to deliver any Pool Report pursuant to this Agreement, and such failure shall remain unremedied for one (1) Business Days (or, if such Pool Report is a Monthly Report, two (2) Business Days); </w:t>
      </w:r>
    </w:p>
    <w:p>
      <w:pPr>
        <w:pStyle w:val="TextBody"/>
        <w:bidi w:val="0"/>
        <w:spacing w:before="120" w:after="0"/>
        <w:jc w:val="left"/>
        <w:rPr>
          <w:rFonts w:ascii="Times New Roman" w:hAnsi="Times New Roman"/>
          <w:sz w:val="20"/>
        </w:rPr>
      </w:pPr>
      <w:r>
        <w:rPr>
          <w:rFonts w:ascii="Times New Roman" w:hAnsi="Times New Roman"/>
          <w:sz w:val="20"/>
        </w:rPr>
        <w:t>(e) any of Sabre GLBL Inc.</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Sabre Global Technologies Limited </w:t>
      </w:r>
      <w:r>
        <w:rPr>
          <w:rFonts w:ascii="Times New Roman" w:hAnsi="Times New Roman"/>
          <w:color w:val="0000FF"/>
          <w:sz w:val="20"/>
          <w:u w:val="single"/>
          <w:bdr w:val="double" w:sz="2" w:space="1" w:color="000000"/>
        </w:rPr>
        <w:t xml:space="preserve">and Sabre Asia Pacific Pte. Ltd., </w:t>
      </w:r>
      <w:r>
        <w:rPr>
          <w:rFonts w:ascii="Times New Roman" w:hAnsi="Times New Roman"/>
          <w:sz w:val="20"/>
        </w:rPr>
        <w:t xml:space="preserve">shall resign, or shall take any material action in furtherance of resigning, from its role or obligations as Servicer hereunder; </w:t>
      </w:r>
    </w:p>
    <w:p>
      <w:pPr>
        <w:pStyle w:val="TextBody"/>
        <w:bidi w:val="0"/>
        <w:spacing w:before="120" w:after="0"/>
        <w:jc w:val="left"/>
        <w:rPr>
          <w:rFonts w:ascii="Times New Roman" w:hAnsi="Times New Roman"/>
          <w:sz w:val="20"/>
        </w:rPr>
      </w:pPr>
      <w:r>
        <w:rPr>
          <w:rFonts w:ascii="Times New Roman" w:hAnsi="Times New Roman"/>
          <w:sz w:val="20"/>
        </w:rPr>
        <w:t xml:space="preserve">(f) the Borrower or the Servicers shall breach </w:t>
      </w:r>
      <w:r>
        <w:rPr>
          <w:rFonts w:ascii="Times New Roman" w:hAnsi="Times New Roman"/>
          <w:sz w:val="20"/>
          <w:u w:val="single"/>
        </w:rPr>
        <w:t>Section 7.01(v)</w:t>
      </w:r>
      <w:r>
        <w:rPr>
          <w:rFonts w:ascii="Times New Roman" w:hAnsi="Times New Roman"/>
          <w:sz w:val="20"/>
        </w:rPr>
        <w:t xml:space="preserve"> or </w:t>
      </w:r>
      <w:r>
        <w:rPr>
          <w:rFonts w:ascii="Times New Roman" w:hAnsi="Times New Roman"/>
          <w:sz w:val="20"/>
          <w:u w:val="single"/>
        </w:rPr>
        <w:t>7.02(o)</w:t>
      </w:r>
      <w:r>
        <w:rPr>
          <w:rFonts w:ascii="Times New Roman" w:hAnsi="Times New Roman"/>
          <w:sz w:val="20"/>
        </w:rPr>
        <w:t xml:space="preserve"> Sanctions and Anti-Corruption Covenants;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this Agreement or any security interest granted pursuant to this Agreement or any other Transaction Document shall for any reason cease to create, or for any reason cease to be, a valid and enforceable first priority perfected security interest in favor of the Administrative Agent with respect to any material portion of the Collateral, free and clear of any Adverse Claim; </w:t>
      </w:r>
    </w:p>
    <w:p>
      <w:pPr>
        <w:pStyle w:val="TextBody"/>
        <w:bidi w:val="0"/>
        <w:spacing w:before="120" w:after="0"/>
        <w:jc w:val="left"/>
        <w:rPr>
          <w:rFonts w:ascii="Times New Roman" w:hAnsi="Times New Roman"/>
          <w:sz w:val="20"/>
        </w:rPr>
      </w:pPr>
      <w:r>
        <w:rPr>
          <w:rFonts w:ascii="Times New Roman" w:hAnsi="Times New Roman"/>
          <w:sz w:val="20"/>
        </w:rPr>
        <w:t xml:space="preserve">(h) any of (i) a Relief Proceeding shall have been instituted against any Borrower-Related Party or Subsidiary of a Borrower-Related Party or a substantial part of the assets of any Borrower-Related Party or Subsidiary and such Relief Proceeding shall remain undismissed or unstayed and in effect for a period of sixty (60) consecutive days or such court shall enter a decree or order granting any of the relief sought in such Relief Proceeding, (ii) any Borrower-Related Party or Subsidiary of a Borrower-Related Party institutes, or takes any action in furtherance of, a Relief Proceeding, (iii) any Borrower-Related Party or any Subsidiary of a Borrower-Related Party ceases to be Solvent or admits in writing its inability to pay its debts as they mature or (iv) any writ or warrant of attachment or execution or similar process is issued or levied against all or any material part of the property of any Borrower-Related Party or any Subsidiary of any Borrower-Related Party and is not released, vacated or fully bonded within sixty (60) days after its issue or levy; </w:t>
      </w:r>
    </w:p>
    <w:p>
      <w:pPr>
        <w:pStyle w:val="TextBody"/>
        <w:bidi w:val="0"/>
        <w:spacing w:before="120" w:after="0"/>
        <w:jc w:val="left"/>
        <w:rPr>
          <w:rFonts w:ascii="Times New Roman" w:hAnsi="Times New Roman"/>
          <w:sz w:val="20"/>
        </w:rPr>
      </w:pPr>
      <w:r>
        <w:rPr>
          <w:rFonts w:ascii="Times New Roman" w:hAnsi="Times New Roman"/>
          <w:sz w:val="20"/>
        </w:rPr>
        <w:t xml:space="preserve">(i) (A) the average of the Default Ratios for any three consecutive Fiscal Months shall exceed 22.50%, (B) the average of the Delinquency Ratios for any three consecutive Fiscal Months shall exceed 6.00%, (C) the average of the Dilution Ratios for any three consecutive Fiscal Months shall exceed 12.00%, or (D) the Days’ Sales Outstanding for any Fiscal Month shall exceed sixty (60) days; </w:t>
      </w:r>
    </w:p>
    <w:p>
      <w:pPr>
        <w:pStyle w:val="TextBody"/>
        <w:bidi w:val="0"/>
        <w:spacing w:before="120" w:after="0"/>
        <w:jc w:val="left"/>
        <w:rPr>
          <w:rFonts w:ascii="Times New Roman" w:hAnsi="Times New Roman"/>
          <w:sz w:val="20"/>
        </w:rPr>
      </w:pPr>
      <w:r>
        <w:rPr>
          <w:rFonts w:ascii="Times New Roman" w:hAnsi="Times New Roman"/>
          <w:sz w:val="20"/>
        </w:rPr>
        <w:t xml:space="preserve">(j) a Change in Control shall occur; </w:t>
      </w:r>
    </w:p>
    <w:p>
      <w:pPr>
        <w:pStyle w:val="TextBody"/>
        <w:bidi w:val="0"/>
        <w:spacing w:before="120" w:after="0"/>
        <w:jc w:val="left"/>
        <w:rPr>
          <w:rFonts w:ascii="Times New Roman" w:hAnsi="Times New Roman"/>
          <w:sz w:val="20"/>
        </w:rPr>
      </w:pPr>
      <w:r>
        <w:rPr>
          <w:rFonts w:ascii="Times New Roman" w:hAnsi="Times New Roman"/>
          <w:sz w:val="20"/>
        </w:rPr>
        <w:t xml:space="preserve">(k) a Borrowing Base Deficit or Class A Borrowing Base Deficit shall occur and shall not have been cured within two (2) Business Days; </w:t>
      </w:r>
    </w:p>
    <w:p>
      <w:pPr>
        <w:pStyle w:val="TextBody"/>
        <w:bidi w:val="0"/>
        <w:spacing w:before="120" w:after="0"/>
        <w:jc w:val="left"/>
        <w:rPr>
          <w:rFonts w:ascii="Times New Roman" w:hAnsi="Times New Roman"/>
          <w:sz w:val="20"/>
        </w:rPr>
      </w:pPr>
      <w:r>
        <w:rPr>
          <w:rFonts w:ascii="Times New Roman" w:hAnsi="Times New Roman"/>
          <w:sz w:val="20"/>
        </w:rPr>
        <w:t xml:space="preserve">(l) (i) the Borrower shall fail to pay any principal of or premium or interest on any of its Indebtedness when the same becomes due and payable (whether by scheduled maturity, required prepayment, acceleration, demand or otherwise), and such failure shall continue after the applicable grace period, if any, specified in the agreement, mortgage, indenture or instrument relating to such Indebtedness (whether or not such failure shall have been waived under the related agreement) or (ii) the Borrower shall fail to observe or perform any other agreement or condition relating to any of its Indebtedness, or any other event shall occur, the effect of which failure or other event is to cause, or to permit the holder or holders of such Indebtedness (or a trustee or agent on behalf of such holder or holders or beneficiary or beneficiaries) to cause, with the giving of notice if required, such Indebtedness to become due or to be repurchased, prepaid, defeased or redeemed (automatically or otherwise), or an offer to repurchase, prepay, defease or redeem such Indebtedness to be made, prior to its stated maturity; </w:t>
      </w:r>
    </w:p>
    <w:p>
      <w:pPr>
        <w:pStyle w:val="TextBody"/>
        <w:bidi w:val="0"/>
        <w:spacing w:before="120" w:after="0"/>
        <w:jc w:val="left"/>
        <w:rPr>
          <w:rFonts w:ascii="Times New Roman" w:hAnsi="Times New Roman"/>
          <w:sz w:val="20"/>
        </w:rPr>
      </w:pPr>
      <w:r>
        <w:rPr>
          <w:rFonts w:ascii="Times New Roman" w:hAnsi="Times New Roman"/>
          <w:sz w:val="20"/>
        </w:rPr>
        <w:t xml:space="preserve">(m) any of the Borrower-Related Parties (other than the Borrower) or any of their respective Subsidiaries (other than the Borrower), individually or in the aggregate, (i) fails to make any payment beyond the applicable grace period with respect thereto, if any, (whether by scheduled maturity, required prepayment, acceleration, demand, or otherwise) in respect of any Indebtedness having an outstanding aggregate principal amount of not less than the Threshold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Amount, or (ii) fails to observe or perform any other agreement or condition relating to any Indebtedness having an outstanding aggregate principal amount of not less than the Threshold Amount, or any other event occurs, the effect of which default or other event described in this </w:t>
      </w:r>
      <w:r>
        <w:rPr>
          <w:rFonts w:ascii="Times New Roman" w:hAnsi="Times New Roman"/>
          <w:sz w:val="20"/>
          <w:u w:val="single"/>
        </w:rPr>
        <w:t>clause (ii)</w:t>
      </w:r>
      <w:r>
        <w:rPr>
          <w:rFonts w:ascii="Times New Roman" w:hAnsi="Times New Roman"/>
          <w:sz w:val="20"/>
        </w:rPr>
        <w:t xml:space="preserve"> is to cause, or to permit the holder or holders of such Indebtedness (or a trustee or agent on behalf of such holder or holders or beneficiary or beneficiaries) to cause, with the giving of notice if required, such Indebtedness to become due or to be repurchased, prepaid, defeased or redeemed (automatically or otherwise), or an offer to repurchase, prepay, defease or redeem such Indebtedness to be made, prior to its stated maturity; </w:t>
      </w:r>
      <w:r>
        <w:rPr>
          <w:rFonts w:ascii="Times New Roman" w:hAnsi="Times New Roman"/>
          <w:sz w:val="20"/>
          <w:u w:val="single"/>
        </w:rPr>
        <w:t>provided</w:t>
      </w:r>
      <w:r>
        <w:rPr>
          <w:rFonts w:ascii="Times New Roman" w:hAnsi="Times New Roman"/>
          <w:sz w:val="20"/>
        </w:rPr>
        <w:t xml:space="preserve"> that this clause (m)(ii) shall not apply to secured Indebtedness that becomes due as a result of the voluntary sale or transfer of the property or assets securing such Indebtedness, if such sale or transfer is permitted hereunder and under the documents providing for such Indebtedness; provided further that such failure is unremedied and is not waived by the holders of such Indebtedness; </w:t>
      </w:r>
    </w:p>
    <w:p>
      <w:pPr>
        <w:pStyle w:val="TextBody"/>
        <w:bidi w:val="0"/>
        <w:spacing w:before="120" w:after="0"/>
        <w:jc w:val="left"/>
        <w:rPr>
          <w:rFonts w:ascii="Times New Roman" w:hAnsi="Times New Roman"/>
          <w:sz w:val="20"/>
        </w:rPr>
      </w:pPr>
      <w:r>
        <w:rPr>
          <w:rFonts w:ascii="Times New Roman" w:hAnsi="Times New Roman"/>
          <w:sz w:val="20"/>
        </w:rPr>
        <w:t xml:space="preserve">(n) any “Event of Default” shall occur under and as defined in the Credit Agreement; </w:t>
      </w:r>
      <w:r>
        <w:rPr>
          <w:rFonts w:ascii="Times New Roman" w:hAnsi="Times New Roman"/>
          <w:sz w:val="20"/>
          <w:u w:val="single"/>
        </w:rPr>
        <w:t>provided</w:t>
      </w:r>
      <w:r>
        <w:rPr>
          <w:rFonts w:ascii="Times New Roman" w:hAnsi="Times New Roman"/>
          <w:sz w:val="20"/>
        </w:rPr>
        <w:t xml:space="preserve">, that such “Event of Default” is unremedied and is not waived by the holders of such Indebtedness; </w:t>
      </w:r>
    </w:p>
    <w:p>
      <w:pPr>
        <w:pStyle w:val="TextBody"/>
        <w:bidi w:val="0"/>
        <w:spacing w:before="120" w:after="0"/>
        <w:jc w:val="left"/>
        <w:rPr>
          <w:rFonts w:ascii="Times New Roman" w:hAnsi="Times New Roman"/>
          <w:sz w:val="20"/>
        </w:rPr>
      </w:pPr>
      <w:r>
        <w:rPr>
          <w:rFonts w:ascii="Times New Roman" w:hAnsi="Times New Roman"/>
          <w:sz w:val="20"/>
        </w:rPr>
        <w:t xml:space="preserve">(o) the Borrower shall fail (x) at any time (other than for ten (10) Business Days following notice of the death or resignation of any Independent Director) to have an Independent Director who satisfies each requirement and qualification specified in </w:t>
      </w:r>
      <w:r>
        <w:rPr>
          <w:rFonts w:ascii="Times New Roman" w:hAnsi="Times New Roman"/>
          <w:sz w:val="20"/>
          <w:u w:val="single"/>
        </w:rPr>
        <w:t>Section 7.03(c)</w:t>
      </w:r>
      <w:r>
        <w:rPr>
          <w:rFonts w:ascii="Times New Roman" w:hAnsi="Times New Roman"/>
          <w:sz w:val="20"/>
        </w:rPr>
        <w:t xml:space="preserve"> for Independent Directors, on the Borrower’s board of directors or (y) to timely notify the Administrative Agent of any replacement or appointment of any director that is to serve as an Independent Director on the Borrower’s board of directors as required pursuant to </w:t>
      </w:r>
      <w:r>
        <w:rPr>
          <w:rFonts w:ascii="Times New Roman" w:hAnsi="Times New Roman"/>
          <w:sz w:val="20"/>
          <w:u w:val="single"/>
        </w:rPr>
        <w:t>Section 7.03(c)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strike/>
          <w:color w:val="FF0000"/>
          <w:sz w:val="20"/>
        </w:rPr>
        <w:t>[</w:t>
      </w:r>
      <w:r>
        <w:rPr>
          <w:rFonts w:ascii="Times New Roman" w:hAnsi="Times New Roman"/>
          <w:strike/>
          <w:color w:val="FF0000"/>
          <w:sz w:val="20"/>
          <w:u w:val="single"/>
        </w:rPr>
        <w:t>Reserved</w:t>
      </w:r>
      <w:r>
        <w:rPr>
          <w:rFonts w:ascii="Times New Roman" w:hAnsi="Times New Roman"/>
          <w:strike/>
          <w:color w:val="FF0000"/>
          <w:sz w:val="20"/>
        </w:rPr>
        <w:t>];</w:t>
      </w:r>
      <w:r>
        <w:rPr>
          <w:rFonts w:ascii="Times New Roman" w:hAnsi="Times New Roman"/>
          <w:color w:val="0000FF"/>
          <w:sz w:val="20"/>
          <w:u w:val="single"/>
          <w:bdr w:val="double" w:sz="2" w:space="1" w:color="000000"/>
        </w:rPr>
        <w:t>a tax authority delivers a written notice or similar correspondence indicating its intent to impose a liability against the Borrower in respect of payment on any Subordinated Loan and the Borrower shall fail to discharge such liability in full by the payment date specified by such tax authority or the SG Servicer shall fail to indemnify the Borrower in full for such liability in accordance with Section 11.03(xi);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(q) either (i) the Internal Revenue Service shall file notice of a lien pursuant to Section 6323 of the Code with regard to any assets of any Borrower-Related Party or (ii) the PBGC shall, or shall indicate its intention to, file notice of a lien pursuant to Section 4068 of ERISA with regard to any of the assets of any Borrower-Related Party; </w:t>
      </w:r>
    </w:p>
    <w:p>
      <w:pPr>
        <w:pStyle w:val="TextBody"/>
        <w:bidi w:val="0"/>
        <w:spacing w:before="120" w:after="0"/>
        <w:jc w:val="left"/>
        <w:rPr>
          <w:rFonts w:ascii="Times New Roman" w:hAnsi="Times New Roman"/>
          <w:sz w:val="20"/>
        </w:rPr>
      </w:pPr>
      <w:r>
        <w:rPr>
          <w:rFonts w:ascii="Times New Roman" w:hAnsi="Times New Roman"/>
          <w:sz w:val="20"/>
        </w:rPr>
        <w:t xml:space="preserve">(r) an ERISA Event occurs with respect to a Pension Plan or Multiemployer Plan which has resulted or would reasonably be expected to result in liability of Borrower or any member of the ERISA Group under Title IV of ERISA to the Pension Plan, Multiemployer Plan or the PBGC that would reasonably be expected to have a Material Adverse Effect, or Borrower or any member of the ERISA Group fails to pay when due, after the expiration of any applicable grace period, any installment payment with respect to its withdrawal liability under Section 4201 of ERISA under a Multiemployer Plan, where the aggregate amount of unamortized withdrawal liability would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(s) a Transfer Termination Event (other than a Financial Covenant Event) shall occur;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 the Borrower shall (i) be required to register as an “investment company” within the meaning of the Investment Company Act or (ii) become a “covered fund” within the meaning of the Volcker Rule; </w:t>
      </w:r>
    </w:p>
    <w:p>
      <w:pPr>
        <w:pStyle w:val="TextBody"/>
        <w:bidi w:val="0"/>
        <w:spacing w:before="120" w:after="0"/>
        <w:jc w:val="left"/>
        <w:rPr>
          <w:rFonts w:ascii="Times New Roman" w:hAnsi="Times New Roman"/>
          <w:sz w:val="20"/>
        </w:rPr>
      </w:pPr>
      <w:r>
        <w:rPr>
          <w:rFonts w:ascii="Times New Roman" w:hAnsi="Times New Roman"/>
          <w:sz w:val="20"/>
        </w:rPr>
        <w:t xml:space="preserve">(u) any material provision of this Agreement or any other Transaction Document shall cease to be in full force and effect or any Borrower-Related Party (or any Affiliate thereof) shall so state in writing; </w:t>
      </w:r>
    </w:p>
    <w:p>
      <w:pPr>
        <w:pStyle w:val="TextBody"/>
        <w:bidi w:val="0"/>
        <w:spacing w:before="120" w:after="0"/>
        <w:jc w:val="left"/>
        <w:rPr>
          <w:rFonts w:ascii="Times New Roman" w:hAnsi="Times New Roman"/>
          <w:sz w:val="20"/>
        </w:rPr>
      </w:pPr>
      <w:r>
        <w:rPr>
          <w:rFonts w:ascii="Times New Roman" w:hAnsi="Times New Roman"/>
          <w:sz w:val="20"/>
        </w:rPr>
        <w:t xml:space="preserve">(v) a final judgment or order for the payment of money in an aggregate amount is entered against any Borrower-Related Party or any Subsidiary exceeding the Threshold Amount or, in the case of the Borrower, $18,600 (to the extent not covered by independent third-party insurance as to which the insurer has been notified of such judgment or order and has not denied coverage thereof) and such judgment or order shall not have been satisfied, vacated, discharged or stayed or bonded pending an appeal for a period of sixty (60) consecutive days; </w:t>
      </w:r>
      <w:r>
        <w:rPr>
          <w:rFonts w:ascii="Times New Roman" w:hAnsi="Times New Roman"/>
          <w:strike/>
          <w:color w:val="FF0000"/>
          <w:sz w:val="20"/>
        </w:rPr>
        <w:t>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 the assets of the Borrower are deemed to constitute “plan assets” (within the meaning of 29 CFR § 2510.3-101, as modified by Section 3(42) of ERISA) or the Borrower is or becomes subject to any applicable law that is similar to the provisions of Section 406 of ERISA or Section 4975 of the Code and that would be violated by the transactions contemplated by this Agreement or any other Transaction Document</w:t>
      </w:r>
      <w:r>
        <w:rPr>
          <w:rFonts w:ascii="Times New Roman" w:hAnsi="Times New Roman"/>
          <w:strike/>
          <w:color w:val="FF0000"/>
          <w:sz w:val="20"/>
        </w:rPr>
        <w:t>.</w:t>
      </w:r>
      <w:r>
        <w:rPr>
          <w:rFonts w:ascii="Times New Roman" w:hAnsi="Times New Roman"/>
          <w:color w:val="0000FF"/>
          <w:sz w:val="20"/>
          <w:u w:val="single"/>
          <w:bdr w:val="double" w:sz="2" w:space="1" w:color="000000"/>
        </w:rPr>
        <w:t>; 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(x)</w:t>
      </w:r>
      <w:r>
        <w:rPr>
          <w:rFonts w:ascii="Times New Roman" w:hAnsi="Times New Roman"/>
          <w:sz w:val="20"/>
        </w:rPr>
        <w:t xml:space="preserve"> </w:t>
      </w:r>
      <w:r>
        <w:rPr>
          <w:rFonts w:ascii="Times New Roman" w:hAnsi="Times New Roman"/>
          <w:color w:val="0000FF"/>
          <w:sz w:val="20"/>
          <w:u w:val="single"/>
          <w:bdr w:val="double" w:sz="2" w:space="1" w:color="000000"/>
        </w:rPr>
        <w:t>any Originator or Servicer is declared by the Minister of Finance of Singapore to be a company to which Part 9 of the Companies Act 1967 of Singapore applies.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9.02 </w:t>
      </w:r>
      <w:r>
        <w:rPr>
          <w:rFonts w:ascii="Times New Roman" w:hAnsi="Times New Roman"/>
          <w:b/>
          <w:sz w:val="20"/>
          <w:u w:val="single"/>
        </w:rPr>
        <w:t>Consequences of an Event of Default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u w:val="single"/>
        </w:rPr>
        <w:t>Generally</w:t>
      </w:r>
      <w:r>
        <w:rPr>
          <w:rFonts w:ascii="Times New Roman" w:hAnsi="Times New Roman"/>
          <w:sz w:val="20"/>
        </w:rPr>
        <w:t xml:space="preserve">. If any Event of Default occurs, the Administrative Agent may (or, at the direction of the Required Lenders shall) by notice to the Borrower: </w:t>
      </w:r>
    </w:p>
    <w:p>
      <w:pPr>
        <w:pStyle w:val="TextBody"/>
        <w:bidi w:val="0"/>
        <w:spacing w:before="120" w:after="0"/>
        <w:jc w:val="left"/>
        <w:rPr>
          <w:rFonts w:ascii="Times New Roman" w:hAnsi="Times New Roman"/>
          <w:sz w:val="20"/>
        </w:rPr>
      </w:pPr>
      <w:r>
        <w:rPr>
          <w:rFonts w:ascii="Times New Roman" w:hAnsi="Times New Roman"/>
          <w:sz w:val="20"/>
        </w:rPr>
        <w:t xml:space="preserve">(i) declare the Termination Date to have occurred (in which case the Termination Date shall be deemed to have occurred) </w:t>
      </w:r>
    </w:p>
    <w:p>
      <w:pPr>
        <w:pStyle w:val="TextBody"/>
        <w:bidi w:val="0"/>
        <w:spacing w:before="120" w:after="0"/>
        <w:jc w:val="left"/>
        <w:rPr>
          <w:rFonts w:ascii="Times New Roman" w:hAnsi="Times New Roman"/>
          <w:sz w:val="20"/>
        </w:rPr>
      </w:pPr>
      <w:r>
        <w:rPr>
          <w:rFonts w:ascii="Times New Roman" w:hAnsi="Times New Roman"/>
          <w:sz w:val="20"/>
        </w:rPr>
        <w:t xml:space="preserve">(ii) declare the Final Maturity Date to have occurred (in which case the Final Maturity Date shall be deemed to have occurred); or </w:t>
      </w:r>
    </w:p>
    <w:p>
      <w:pPr>
        <w:pStyle w:val="TextBody"/>
        <w:bidi w:val="0"/>
        <w:spacing w:before="120" w:after="0"/>
        <w:jc w:val="left"/>
        <w:rPr>
          <w:rFonts w:ascii="Times New Roman" w:hAnsi="Times New Roman"/>
          <w:sz w:val="20"/>
        </w:rPr>
      </w:pPr>
      <w:r>
        <w:rPr>
          <w:rFonts w:ascii="Times New Roman" w:hAnsi="Times New Roman"/>
          <w:sz w:val="20"/>
        </w:rPr>
        <w:t xml:space="preserve">(iii) declare the Aggregate Principal and all other Borrower Obligations to be immediately due and payable (in which case the Aggregate Principal and all other Borrower Obligations shall be immediately due and payable);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automatically and immediately (without any requirement for the giving of notice) upon the occurrence of any Event of Default described in </w:t>
      </w:r>
      <w:r>
        <w:rPr>
          <w:rFonts w:ascii="Times New Roman" w:hAnsi="Times New Roman"/>
          <w:sz w:val="20"/>
          <w:u w:val="single"/>
        </w:rPr>
        <w:t>Section 9.01(h)</w:t>
      </w:r>
      <w:r>
        <w:rPr>
          <w:rFonts w:ascii="Times New Roman" w:hAnsi="Times New Roman"/>
          <w:sz w:val="20"/>
        </w:rPr>
        <w:t xml:space="preserve"> with respect to the Borrower, the Termination Date shall occur and the Aggregate Principal and all other Borrower Obligations shall be immediately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Upon any such declaration or designation or upon such automatic termination, the Administrative Agent and the other Secured Parties shall have, in addition to the rights and remedies which they may have under this Agreement and the other Transaction Documents, all other rights and remedies provided after default under the UCC and under other applicable Law, which rights and remedies shall be cumulative.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b/>
          <w:sz w:val="20"/>
          <w:u w:val="single"/>
        </w:rPr>
        <w:t>Set-off</w:t>
      </w:r>
      <w:r>
        <w:rPr>
          <w:rFonts w:ascii="Times New Roman" w:hAnsi="Times New Roman"/>
          <w:sz w:val="20"/>
        </w:rPr>
        <w:t xml:space="preserve">. If an Event of Default shall have occurred and be continuing, each Lender and each of their respective Affiliates and any participant of such Lender or Affiliate which has agreed in writing to be bound by the provisions of </w:t>
      </w:r>
      <w:r>
        <w:rPr>
          <w:rFonts w:ascii="Times New Roman" w:hAnsi="Times New Roman"/>
          <w:sz w:val="20"/>
          <w:u w:val="single"/>
        </w:rPr>
        <w:t>Section 3.03</w:t>
      </w:r>
      <w:r>
        <w:rPr>
          <w:rFonts w:ascii="Times New Roman" w:hAnsi="Times New Roman"/>
          <w:sz w:val="20"/>
        </w:rPr>
        <w:t xml:space="preserve">, after obtaining the prior written consent of the Administrative Agent,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or any such Affiliate or participant to or for the credit or the account of the Borrower against any and all of the Borrower Obligations now or hereafter existing under this Agreement or any other Transaction Document to such Lender, Affiliate or participant, irrespective of whether or not such Lender, Affiliate or participant shall have made any demand under this Agreement or any other Transaction Document and although such Borrower Obligations may be contingent or unmatured or are owed to a branch or office of such Lender different from the branch or office holding such deposit or obligated on such Indebtedness, </w:t>
      </w:r>
      <w:r>
        <w:rPr>
          <w:rFonts w:ascii="Times New Roman" w:hAnsi="Times New Roman"/>
          <w:sz w:val="20"/>
          <w:u w:val="single"/>
        </w:rPr>
        <w:t>provided</w:t>
      </w:r>
      <w:r>
        <w:rPr>
          <w:rFonts w:ascii="Times New Roman" w:hAnsi="Times New Roman"/>
          <w:sz w:val="20"/>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 w:hAnsi="Times New Roman"/>
          <w:sz w:val="20"/>
          <w:u w:val="single"/>
        </w:rPr>
        <w:t>Section 2.06</w:t>
      </w:r>
      <w:r>
        <w:rPr>
          <w:rFonts w:ascii="Times New Roman" w:hAnsi="Times New Roman"/>
          <w:sz w:val="20"/>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Borrower Obligations owing to such Defaulting Lender as to which it exercised such right of setoff. The rights of each Lender and their respective Affiliates and participants under this Section are in addition to other rights and remedies (including other rights of setoff) that such Lender or its respective Affiliates and participants may have. Each Lender agrees to notify the Borrower and the Administrative Agent promptly after any such setoff and application; </w:t>
      </w:r>
      <w:r>
        <w:rPr>
          <w:rFonts w:ascii="Times New Roman" w:hAnsi="Times New Roman"/>
          <w:sz w:val="20"/>
          <w:u w:val="single"/>
        </w:rPr>
        <w:t>provided</w:t>
      </w:r>
      <w:r>
        <w:rPr>
          <w:rFonts w:ascii="Times New Roman" w:hAnsi="Times New Roman"/>
          <w:sz w:val="20"/>
        </w:rPr>
        <w:t xml:space="preserve"> that the failure to give such notice shall not affect the validity of such setoff and application.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u w:val="single"/>
        </w:rPr>
        <w:t>Enforcement of Rights and Remedies</w:t>
      </w:r>
      <w:r>
        <w:rPr>
          <w:rFonts w:ascii="Times New Roman" w:hAnsi="Times New Roman"/>
          <w:sz w:val="20"/>
        </w:rPr>
        <w:t xml:space="preserve">. Notwithstanding anything to the contrary contained herein or in any other Transaction Document, the authority to enforce rights and remedies hereunder and under the other Transaction Documents against the Borrower-Related Parties or any of them shall be vested exclusively in, and all actions and proceedings at Law in connection with such enforcement shall be instituted and maintained exclusively by, the Administrative Agent in accordance with this Agreement for the benefit of all the Lenders and the other Secured Parties; </w:t>
      </w:r>
      <w:r>
        <w:rPr>
          <w:rFonts w:ascii="Times New Roman" w:hAnsi="Times New Roman"/>
          <w:sz w:val="20"/>
          <w:u w:val="single"/>
        </w:rPr>
        <w:t>provided</w:t>
      </w:r>
      <w:r>
        <w:rPr>
          <w:rFonts w:ascii="Times New Roman" w:hAnsi="Times New Roman"/>
          <w:sz w:val="20"/>
        </w:rPr>
        <w:t xml:space="preserve"> that the foregoing shall not prohibit (i) the Administrative Agent from exercising on its own behalf the rights and remedies that inure to its benefit (solely in its capacity as Administrative Agent) hereunder and under the other Transaction Documents, (ii) any Lender from exercising setoff rights in accordance with </w:t>
      </w:r>
      <w:r>
        <w:rPr>
          <w:rFonts w:ascii="Times New Roman" w:hAnsi="Times New Roman"/>
          <w:sz w:val="20"/>
          <w:u w:val="single"/>
        </w:rPr>
        <w:t>Section 9.02(b)</w:t>
      </w:r>
      <w:r>
        <w:rPr>
          <w:rFonts w:ascii="Times New Roman" w:hAnsi="Times New Roman"/>
          <w:sz w:val="20"/>
        </w:rPr>
        <w:t xml:space="preserve"> (subject to the terms of </w:t>
      </w:r>
      <w:r>
        <w:rPr>
          <w:rFonts w:ascii="Times New Roman" w:hAnsi="Times New Roman"/>
          <w:sz w:val="20"/>
          <w:u w:val="single"/>
        </w:rPr>
        <w:t>Section 3.03</w:t>
      </w:r>
      <w:r>
        <w:rPr>
          <w:rFonts w:ascii="Times New Roman" w:hAnsi="Times New Roman"/>
          <w:sz w:val="20"/>
        </w:rPr>
        <w:t xml:space="preserve">), or (iii) any Lender from filing proofs of claim or appearing and filing pleadings on its own behalf during the pendency of a proceeding relative to any Borrower-Related Party under any Relief Proceeding;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at any time there is no Person acting as Administrative Agent hereunder and under the other Transaction Documents, then (A) the Required Lenders shall have the rights otherwise ascribed to the Administrative Agent pursuant to this </w:t>
      </w:r>
      <w:r>
        <w:rPr>
          <w:rFonts w:ascii="Times New Roman" w:hAnsi="Times New Roman"/>
          <w:sz w:val="20"/>
          <w:u w:val="single"/>
        </w:rPr>
        <w:t>Section 9.02(c)</w:t>
      </w:r>
      <w:r>
        <w:rPr>
          <w:rFonts w:ascii="Times New Roman" w:hAnsi="Times New Roman"/>
          <w:sz w:val="20"/>
        </w:rPr>
        <w:t xml:space="preserve">, and (B) in addition to the matters specified in </w:t>
      </w:r>
      <w:r>
        <w:rPr>
          <w:rFonts w:ascii="Times New Roman" w:hAnsi="Times New Roman"/>
          <w:sz w:val="20"/>
          <w:u w:val="single"/>
        </w:rPr>
        <w:t>clauses (ii)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of the preceding proviso and subject to </w:t>
      </w:r>
      <w:r>
        <w:rPr>
          <w:rFonts w:ascii="Times New Roman" w:hAnsi="Times New Roman"/>
          <w:sz w:val="20"/>
          <w:u w:val="single"/>
        </w:rPr>
        <w:t>Section 3.03</w:t>
      </w:r>
      <w:r>
        <w:rPr>
          <w:rFonts w:ascii="Times New Roman" w:hAnsi="Times New Roman"/>
          <w:sz w:val="20"/>
        </w:rPr>
        <w:t xml:space="preserve">), any Lender may, with the consent of the Required Lenders, enforce any rights and remedies available to it and as authorized by the Required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b/>
          <w:sz w:val="20"/>
          <w:u w:val="single"/>
        </w:rPr>
        <w:t>Application of Proceeds</w:t>
      </w:r>
      <w:r>
        <w:rPr>
          <w:rFonts w:ascii="Times New Roman" w:hAnsi="Times New Roman"/>
          <w:sz w:val="20"/>
        </w:rPr>
        <w:t xml:space="preserve">. From and after the date on which the Administrative Agent has taken any action pursuant to </w:t>
      </w:r>
      <w:r>
        <w:rPr>
          <w:rFonts w:ascii="Times New Roman" w:hAnsi="Times New Roman"/>
          <w:sz w:val="20"/>
          <w:u w:val="single"/>
        </w:rPr>
        <w:t>Section 9.02(c)</w:t>
      </w:r>
      <w:r>
        <w:rPr>
          <w:rFonts w:ascii="Times New Roman" w:hAnsi="Times New Roman"/>
          <w:sz w:val="20"/>
        </w:rPr>
        <w:t xml:space="preserve"> (or after the Borrower Obligations have automatically become immediately due and payable as specified in the </w:t>
      </w:r>
      <w:r>
        <w:rPr>
          <w:rFonts w:ascii="Times New Roman" w:hAnsi="Times New Roman"/>
          <w:i/>
          <w:sz w:val="20"/>
        </w:rPr>
        <w:t>proviso</w:t>
      </w:r>
      <w:r>
        <w:rPr>
          <w:rFonts w:ascii="Times New Roman" w:hAnsi="Times New Roman"/>
          <w:sz w:val="20"/>
        </w:rPr>
        <w:t xml:space="preserve"> to </w:t>
      </w:r>
      <w:r>
        <w:rPr>
          <w:rFonts w:ascii="Times New Roman" w:hAnsi="Times New Roman"/>
          <w:sz w:val="20"/>
          <w:u w:val="single"/>
        </w:rPr>
        <w:t>Section 9.02(a)</w:t>
      </w:r>
      <w:r>
        <w:rPr>
          <w:rFonts w:ascii="Times New Roman" w:hAnsi="Times New Roman"/>
          <w:sz w:val="20"/>
        </w:rPr>
        <w:t xml:space="preserve">) and until the Final Payout Date, any and all proceeds received on account of the Borrower Obligations shall (subject to </w:t>
      </w:r>
      <w:r>
        <w:rPr>
          <w:rFonts w:ascii="Times New Roman" w:hAnsi="Times New Roman"/>
          <w:sz w:val="20"/>
          <w:u w:val="single"/>
        </w:rPr>
        <w:t>Sections 2.06</w:t>
      </w:r>
      <w:r>
        <w:rPr>
          <w:rFonts w:ascii="Times New Roman" w:hAnsi="Times New Roman"/>
          <w:sz w:val="20"/>
        </w:rPr>
        <w:t xml:space="preserve">) be applied in accordance with the order of priority set forth in </w:t>
      </w:r>
      <w:r>
        <w:rPr>
          <w:rFonts w:ascii="Times New Roman" w:hAnsi="Times New Roman"/>
          <w:sz w:val="20"/>
          <w:u w:val="single"/>
        </w:rPr>
        <w:t>Section 3.01(a)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b/>
          <w:sz w:val="20"/>
          <w:u w:val="single"/>
        </w:rPr>
        <w:t>Additional Provisions Related to Remedies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Upon the occurrence and during the continuance of any Event of Default, the Required Class A Lenders in their capacity as the Required Lenders shall have the exclusive right to direct the Administrative Agent in writing to take one or more Exercise of Remedies until the Class A Lenders are repaid in full (and thereafter the Required Class B Lenders in their capacity as the Required Lenders shall have such right to direct the Administrative Agent) and the Administrative Agent shall commence and diligently pursue in good faith any and all Exercise of Remedies as directed in writing by the Required Class A Lenders as the Required Lenders;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notwithstanding the foregoing, unless an Exigent Circumstance exists, the Administrative Agent’s obligation to commence and pursue an Exercise of Remedies as directed in writing by the Required Class A Lenders as the Required Lenders shall be suspended during the period (the “</w:t>
      </w:r>
      <w:r>
        <w:rPr>
          <w:rFonts w:ascii="Times New Roman" w:hAnsi="Times New Roman"/>
          <w:sz w:val="20"/>
          <w:u w:val="single"/>
        </w:rPr>
        <w:t>Class A Standstill Period</w:t>
      </w:r>
      <w:r>
        <w:rPr>
          <w:rFonts w:ascii="Times New Roman" w:hAnsi="Times New Roman"/>
          <w:sz w:val="20"/>
        </w:rPr>
        <w:t>”) beginning on the first date on which the Administrative Agent and Class B Lender Representative receives written instructions for an Exercise of Remedies from the Required Class A Lenders as the Required Lenders (such written instructions, the “</w:t>
      </w:r>
      <w:r>
        <w:rPr>
          <w:rFonts w:ascii="Times New Roman" w:hAnsi="Times New Roman"/>
          <w:sz w:val="20"/>
          <w:u w:val="single"/>
        </w:rPr>
        <w:t>Class A Remedies Instruction</w:t>
      </w:r>
      <w:r>
        <w:rPr>
          <w:rFonts w:ascii="Times New Roman" w:hAnsi="Times New Roman"/>
          <w:sz w:val="20"/>
        </w:rPr>
        <w:t>” and the date of the Administrative Agent’s receipt of such written instructions, the “</w:t>
      </w:r>
      <w:r>
        <w:rPr>
          <w:rFonts w:ascii="Times New Roman" w:hAnsi="Times New Roman"/>
          <w:sz w:val="20"/>
          <w:u w:val="single"/>
        </w:rPr>
        <w:t>Class A Remedies Instruction Date</w:t>
      </w:r>
      <w:r>
        <w:rPr>
          <w:rFonts w:ascii="Times New Roman" w:hAnsi="Times New Roman"/>
          <w:sz w:val="20"/>
        </w:rPr>
        <w:t xml:space="preserve">”) and ending on (x) if no Committed Buy-Out Notice is delivered to the Class A Lender Representative pursuant to this Agreement by close of business on the fifth (5th) Business Day after the Class A Remedies Instruction Date (or the last day of such other period that may be agreed to by the Administrative Agent and the Required Lenders) such fifth (5th) Business Day (or, if the Administrative Agent and the Required Lenders agreed to a different period, the last day of such different period), or (y) if at least one Committed Buy-Out Notice is delivered to the Class A Lender Representative pursuant to this Agreement by close of business on the fifth (5th) Business Day after the Class A Remedies Instruction Date (or the last day of such other period that may be agreed to by the Administrative Agent and the Required Lenders), the fifth (5th) Business Day after the date on which such first Committed Buy-Out Notice has been delivered to the Class A Lender Representative (or, if the Administrative Agent and the Required Lenders agreed to a different period, the last day of such different period);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notwithstanding anything to the contrary in this </w:t>
      </w:r>
      <w:r>
        <w:rPr>
          <w:rFonts w:ascii="Times New Roman" w:hAnsi="Times New Roman"/>
          <w:sz w:val="20"/>
          <w:u w:val="single"/>
        </w:rPr>
        <w:t>Section 9.03(a)</w:t>
      </w:r>
      <w:r>
        <w:rPr>
          <w:rFonts w:ascii="Times New Roman" w:hAnsi="Times New Roman"/>
          <w:sz w:val="20"/>
        </w:rPr>
        <w:t xml:space="preserve">, if an Exigent Circumstance exists, as determined by either (x) the Administrative Agent, in consultation with the Required Lenders, or (y) in good faith by the Required Lenders, the Administrative Agent shall pursue such Exercise of Remedies as instructed in writing by the Required Lenders promptly without giving effect to the Class A Standstill Period. The Administrative Agent shall promptly deliver each Exercise of Remedies instruction from the Required Class A Lenders to each other Lender. </w:t>
      </w:r>
    </w:p>
    <w:p>
      <w:pPr>
        <w:pStyle w:val="TextBody"/>
        <w:bidi w:val="0"/>
        <w:spacing w:before="120" w:after="0"/>
        <w:jc w:val="left"/>
        <w:rPr>
          <w:rFonts w:ascii="Times New Roman" w:hAnsi="Times New Roman"/>
          <w:sz w:val="20"/>
        </w:rPr>
      </w:pPr>
      <w:r>
        <w:rPr>
          <w:rFonts w:ascii="Times New Roman" w:hAnsi="Times New Roman"/>
          <w:sz w:val="20"/>
        </w:rPr>
        <w:t xml:space="preserve">(b) Certain definitions, for purposes of </w:t>
      </w:r>
      <w:r>
        <w:rPr>
          <w:rFonts w:ascii="Times New Roman" w:hAnsi="Times New Roman"/>
          <w:sz w:val="20"/>
          <w:u w:val="single"/>
        </w:rPr>
        <w:t>Section 9.03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Exercise of Remedies</w:t>
      </w:r>
      <w:r>
        <w:rPr>
          <w:rFonts w:ascii="Times New Roman" w:hAnsi="Times New Roman"/>
          <w:sz w:val="20"/>
        </w:rPr>
        <w:t xml:space="preserve">” means the exercise of any enforcement rights or remedies that are available to the Administrative Agent, any Lender, or other Person holding Borrower Obligations upon the occurrence of an Event of Default including, without limitation, any or all of the following: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the acceleration of the Loans and the other Borrower Obligations; </w:t>
      </w:r>
    </w:p>
    <w:p>
      <w:pPr>
        <w:pStyle w:val="TextBody"/>
        <w:bidi w:val="0"/>
        <w:spacing w:before="120" w:after="0"/>
        <w:jc w:val="left"/>
        <w:rPr>
          <w:rFonts w:ascii="Times New Roman" w:hAnsi="Times New Roman"/>
          <w:sz w:val="20"/>
        </w:rPr>
      </w:pPr>
      <w:r>
        <w:rPr>
          <w:rFonts w:ascii="Times New Roman" w:hAnsi="Times New Roman"/>
          <w:sz w:val="20"/>
        </w:rPr>
        <w:t xml:space="preserve">(B) the taking of any action to foreclose on a Lien on, or any other right or remedy as a secured creditor to sell, assign, lease, license or otherwise dispose of, all or any portion of the Collateral, including the issuance to one or more Credit Parties of any notice in respect thereof required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(C) the notification of Obligors to make payment to the Administrative Agent or any of its agents; </w:t>
      </w:r>
    </w:p>
    <w:p>
      <w:pPr>
        <w:pStyle w:val="TextBody"/>
        <w:bidi w:val="0"/>
        <w:spacing w:before="120" w:after="0"/>
        <w:jc w:val="left"/>
        <w:rPr>
          <w:rFonts w:ascii="Times New Roman" w:hAnsi="Times New Roman"/>
          <w:sz w:val="20"/>
        </w:rPr>
      </w:pPr>
      <w:r>
        <w:rPr>
          <w:rFonts w:ascii="Times New Roman" w:hAnsi="Times New Roman"/>
          <w:sz w:val="20"/>
        </w:rPr>
        <w:t xml:space="preserve">(D) the taking of any action to take possession of all or any portion of the Collateral; </w:t>
      </w:r>
    </w:p>
    <w:p>
      <w:pPr>
        <w:pStyle w:val="TextBody"/>
        <w:bidi w:val="0"/>
        <w:spacing w:before="120" w:after="0"/>
        <w:jc w:val="left"/>
        <w:rPr>
          <w:rFonts w:ascii="Times New Roman" w:hAnsi="Times New Roman"/>
          <w:sz w:val="20"/>
        </w:rPr>
      </w:pPr>
      <w:r>
        <w:rPr>
          <w:rFonts w:ascii="Times New Roman" w:hAnsi="Times New Roman"/>
          <w:sz w:val="20"/>
        </w:rPr>
        <w:t xml:space="preserve">(E) the commencement of any involuntary legal proceedings or actions with respect to all or any portion of the Collateral; </w:t>
      </w:r>
    </w:p>
    <w:p>
      <w:pPr>
        <w:pStyle w:val="TextBody"/>
        <w:bidi w:val="0"/>
        <w:spacing w:before="120" w:after="0"/>
        <w:jc w:val="left"/>
        <w:rPr>
          <w:rFonts w:ascii="Times New Roman" w:hAnsi="Times New Roman"/>
          <w:sz w:val="20"/>
        </w:rPr>
      </w:pPr>
      <w:r>
        <w:rPr>
          <w:rFonts w:ascii="Times New Roman" w:hAnsi="Times New Roman"/>
          <w:sz w:val="20"/>
        </w:rPr>
        <w:t xml:space="preserve">(F) any sale, assignment, lease, license or other disposition of all or any material portion of the Collateral by one or more Credit Parties with the consent of the Administrative Agent and the Required Lenders, which sale, assignment, lease, license or other disposition is conducted by or on behalf of such Credit Parties in connection with efforts to collect all or any portion of the Borrower Obligations through such sale, assignment, lease, license or other disposition; </w:t>
      </w:r>
    </w:p>
    <w:p>
      <w:pPr>
        <w:pStyle w:val="TextBody"/>
        <w:bidi w:val="0"/>
        <w:spacing w:before="120" w:after="0"/>
        <w:jc w:val="left"/>
        <w:rPr>
          <w:rFonts w:ascii="Times New Roman" w:hAnsi="Times New Roman"/>
          <w:sz w:val="20"/>
        </w:rPr>
      </w:pPr>
      <w:r>
        <w:rPr>
          <w:rFonts w:ascii="Times New Roman" w:hAnsi="Times New Roman"/>
          <w:sz w:val="20"/>
        </w:rPr>
        <w:t xml:space="preserve">(G) replacement of the Person then acting as Servicer; </w:t>
      </w:r>
    </w:p>
    <w:p>
      <w:pPr>
        <w:pStyle w:val="TextBody"/>
        <w:bidi w:val="0"/>
        <w:spacing w:before="12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none of the following shall constitute an Exercise of Remedies: (1) actions taken solely for purpose of perfecting a security interest in Collateral; (2) the imposition of any increase in the Interest Rate or any Fees; (3) delivery to any Credit Party of any notice of default; (4) the filing of any proof of claim; (5) the sweeping of cash or exercise of exclusive control under blocked account arrangements; (6) the giving of any notice expressly contemplated by this Agreement, (7) the solicitation by the Required Lenders of bids from third parties to conduct the sale, assignment, lease, license or other disposition of all or any portion of the Collateral and/or the business of the Borrower or to engage or retain sales brokers, marketing agents, investment bankers, accountants, appraisers, auctioneers, or other third Persons for the purposes of valuing, marketing, promoting and selling Collateral or (8) any actions in preparation for any of the actions described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(G)</w:t>
      </w:r>
      <w:r>
        <w:rPr>
          <w:rFonts w:ascii="Times New Roman" w:hAnsi="Times New Roman"/>
          <w:sz w:val="20"/>
        </w:rPr>
        <w:t xml:space="preserve"> above or </w:t>
      </w:r>
      <w:r>
        <w:rPr>
          <w:rFonts w:ascii="Times New Roman" w:hAnsi="Times New Roman"/>
          <w:sz w:val="20"/>
          <w:u w:val="single"/>
        </w:rPr>
        <w:t>clauses (1)</w:t>
      </w:r>
      <w:r>
        <w:rPr>
          <w:rFonts w:ascii="Times New Roman" w:hAnsi="Times New Roman"/>
          <w:sz w:val="20"/>
        </w:rPr>
        <w:t xml:space="preserve"> through </w:t>
      </w:r>
      <w:r>
        <w:rPr>
          <w:rFonts w:ascii="Times New Roman" w:hAnsi="Times New Roman"/>
          <w:sz w:val="20"/>
          <w:u w:val="single"/>
        </w:rPr>
        <w:t>(7)</w:t>
      </w:r>
      <w:r>
        <w:rPr>
          <w:rFonts w:ascii="Times New Roman" w:hAnsi="Times New Roman"/>
          <w:sz w:val="20"/>
        </w:rPr>
        <w:t xml:space="preserve"> of this proviso.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Exigent Circumstances</w:t>
      </w:r>
      <w:r>
        <w:rPr>
          <w:rFonts w:ascii="Times New Roman" w:hAnsi="Times New Roman"/>
          <w:sz w:val="20"/>
        </w:rPr>
        <w:t xml:space="preserve">” means (A) an Event of Default occurring under </w:t>
      </w:r>
      <w:r>
        <w:rPr>
          <w:rFonts w:ascii="Times New Roman" w:hAnsi="Times New Roman"/>
          <w:sz w:val="20"/>
          <w:u w:val="single"/>
        </w:rPr>
        <w:t>Section 10.01(a)</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(g)</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w:t>
      </w:r>
      <w:r>
        <w:rPr>
          <w:rFonts w:ascii="Times New Roman" w:hAnsi="Times New Roman"/>
          <w:sz w:val="20"/>
          <w:u w:val="single"/>
        </w:rPr>
        <w:t>(j)</w:t>
      </w:r>
      <w:r>
        <w:rPr>
          <w:rFonts w:ascii="Times New Roman" w:hAnsi="Times New Roman"/>
          <w:sz w:val="20"/>
        </w:rPr>
        <w:t xml:space="preserve">, </w:t>
      </w:r>
      <w:r>
        <w:rPr>
          <w:rFonts w:ascii="Times New Roman" w:hAnsi="Times New Roman"/>
          <w:sz w:val="20"/>
          <w:u w:val="single"/>
        </w:rPr>
        <w:t>(q)</w:t>
      </w:r>
      <w:r>
        <w:rPr>
          <w:rFonts w:ascii="Times New Roman" w:hAnsi="Times New Roman"/>
          <w:sz w:val="20"/>
        </w:rPr>
        <w:t xml:space="preserve">, </w:t>
      </w:r>
      <w:r>
        <w:rPr>
          <w:rFonts w:ascii="Times New Roman" w:hAnsi="Times New Roman"/>
          <w:sz w:val="20"/>
          <w:u w:val="single"/>
        </w:rPr>
        <w:t>(r)</w:t>
      </w:r>
      <w:r>
        <w:rPr>
          <w:rFonts w:ascii="Times New Roman" w:hAnsi="Times New Roman"/>
          <w:sz w:val="20"/>
        </w:rPr>
        <w:t xml:space="preserve">, </w:t>
      </w:r>
      <w:r>
        <w:rPr>
          <w:rFonts w:ascii="Times New Roman" w:hAnsi="Times New Roman"/>
          <w:sz w:val="20"/>
          <w:u w:val="single"/>
        </w:rPr>
        <w:t>(t)</w:t>
      </w:r>
      <w:r>
        <w:rPr>
          <w:rFonts w:ascii="Times New Roman" w:hAnsi="Times New Roman"/>
          <w:sz w:val="20"/>
        </w:rPr>
        <w:t xml:space="preserve">, or </w:t>
      </w:r>
      <w:r>
        <w:rPr>
          <w:rFonts w:ascii="Times New Roman" w:hAnsi="Times New Roman"/>
          <w:sz w:val="20"/>
          <w:u w:val="single"/>
        </w:rPr>
        <w:t>(u)</w:t>
      </w:r>
      <w:r>
        <w:rPr>
          <w:rFonts w:ascii="Times New Roman" w:hAnsi="Times New Roman"/>
          <w:sz w:val="20"/>
        </w:rPr>
        <w:t xml:space="preserve">, (B) an event or circumstance that materially and immediately threatens the value of all or a material portion of the Collateral or the ability of the Administrative Agent, any Lender or any other Person holding Borrower Obligations to realize upon all or a material portion of the Collateral such as, without limitation, fraud, fraudulent removal, concealment, abandonment,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destruction (other than to the extent covered by insurance) or material waste, or the exercise by a creditor of a Credit Party of enforcement rights or remedies following default with respect to all or a material portion of the Collateral (other than a Person expressly permitted by the terms of this Agreement to exercise such rights or remedies), or (C) any other circumstance deemed to be an “Exigent Circumstance” in the discretion of the Administrative Agent (with the consent of the Required Lenders). </w:t>
      </w:r>
    </w:p>
    <w:p>
      <w:pPr>
        <w:pStyle w:val="TextBody"/>
        <w:bidi w:val="0"/>
        <w:spacing w:before="120" w:after="0"/>
        <w:jc w:val="left"/>
        <w:rPr>
          <w:rFonts w:ascii="Times New Roman" w:hAnsi="Times New Roman"/>
          <w:sz w:val="20"/>
        </w:rPr>
      </w:pPr>
      <w:r>
        <w:rPr>
          <w:rFonts w:ascii="Times New Roman" w:hAnsi="Times New Roman"/>
          <w:sz w:val="20"/>
        </w:rPr>
        <w:t xml:space="preserve">(c) This </w:t>
      </w:r>
      <w:r>
        <w:rPr>
          <w:rFonts w:ascii="Times New Roman" w:hAnsi="Times New Roman"/>
          <w:sz w:val="20"/>
          <w:u w:val="single"/>
        </w:rPr>
        <w:t>Section 9.03</w:t>
      </w:r>
      <w:r>
        <w:rPr>
          <w:rFonts w:ascii="Times New Roman" w:hAnsi="Times New Roman"/>
          <w:sz w:val="20"/>
        </w:rPr>
        <w:t xml:space="preserve"> may be amended, waived or otherwise modified by the Administrative Agent and the Required Class A Lenders and the Required Class B Lenders (without the consent of any Borrower-Related Party or any Defaulting Class B Lender). </w:t>
      </w:r>
    </w:p>
    <w:p>
      <w:pPr>
        <w:pStyle w:val="TextBody"/>
        <w:bidi w:val="0"/>
        <w:spacing w:before="240" w:after="0"/>
        <w:jc w:val="left"/>
        <w:rPr>
          <w:rFonts w:ascii="Times New Roman" w:hAnsi="Times New Roman"/>
          <w:sz w:val="20"/>
        </w:rPr>
      </w:pPr>
      <w:r>
        <w:rPr>
          <w:rFonts w:ascii="Times New Roman" w:hAnsi="Times New Roman"/>
          <w:sz w:val="20"/>
        </w:rPr>
        <w:t xml:space="preserve">SECTION 9.04 </w:t>
      </w:r>
      <w:r>
        <w:rPr>
          <w:rFonts w:ascii="Times New Roman" w:hAnsi="Times New Roman"/>
          <w:b/>
          <w:sz w:val="20"/>
          <w:u w:val="single"/>
        </w:rPr>
        <w:t>Purchase Options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Buy-Out Option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Each Class B Lender (for itself and its Affiliates and Related Funds (the “</w:t>
      </w:r>
      <w:r>
        <w:rPr>
          <w:rFonts w:ascii="Times New Roman" w:hAnsi="Times New Roman"/>
          <w:sz w:val="20"/>
          <w:u w:val="single"/>
        </w:rPr>
        <w:t>Class B Lender Affiliates</w:t>
      </w:r>
      <w:r>
        <w:rPr>
          <w:rFonts w:ascii="Times New Roman" w:hAnsi="Times New Roman"/>
          <w:sz w:val="20"/>
        </w:rPr>
        <w:t>”) and all other Lenders that are, directly or indirectly, successors to or assignees of the Initial Class B Lenders or the Class B Lender Affiliates (together with the Class B Lender Affiliates, collectively, the “</w:t>
      </w:r>
      <w:r>
        <w:rPr>
          <w:rFonts w:ascii="Times New Roman" w:hAnsi="Times New Roman"/>
          <w:sz w:val="20"/>
          <w:u w:val="single"/>
        </w:rPr>
        <w:t>Class B Lender Transferees</w:t>
      </w:r>
      <w:r>
        <w:rPr>
          <w:rFonts w:ascii="Times New Roman" w:hAnsi="Times New Roman"/>
          <w:sz w:val="20"/>
        </w:rPr>
        <w:t>”; the Initial Class B Lenders, the Class B Lender Affiliates and the Class B Lender Transferees, each individually, a “</w:t>
      </w:r>
      <w:r>
        <w:rPr>
          <w:rFonts w:ascii="Times New Roman" w:hAnsi="Times New Roman"/>
          <w:sz w:val="20"/>
          <w:u w:val="single"/>
        </w:rPr>
        <w:t>Class B Lender</w:t>
      </w:r>
      <w:r>
        <w:rPr>
          <w:rFonts w:ascii="Times New Roman" w:hAnsi="Times New Roman"/>
          <w:sz w:val="20"/>
        </w:rPr>
        <w:t>” and collectively, the “</w:t>
      </w:r>
      <w:r>
        <w:rPr>
          <w:rFonts w:ascii="Times New Roman" w:hAnsi="Times New Roman"/>
          <w:sz w:val="20"/>
          <w:u w:val="single"/>
        </w:rPr>
        <w:t>Class B Lenders</w:t>
      </w:r>
      <w:r>
        <w:rPr>
          <w:rFonts w:ascii="Times New Roman" w:hAnsi="Times New Roman"/>
          <w:sz w:val="20"/>
        </w:rPr>
        <w:t>”)) and each Initial Class A Lender (for itself and for its Affiliates and Related Funds (the “</w:t>
      </w:r>
      <w:r>
        <w:rPr>
          <w:rFonts w:ascii="Times New Roman" w:hAnsi="Times New Roman"/>
          <w:sz w:val="20"/>
          <w:u w:val="single"/>
        </w:rPr>
        <w:t>Initial Class A Lender Affiliates</w:t>
      </w:r>
      <w:r>
        <w:rPr>
          <w:rFonts w:ascii="Times New Roman" w:hAnsi="Times New Roman"/>
          <w:sz w:val="20"/>
        </w:rPr>
        <w:t>”) and all other Lenders that are directly or indirectly, successors to or assignees of the Initial Class A Lenders or the Initial Class A Lender Affiliates (together with the Initial Class A Lender Affiliates, collectively, the “</w:t>
      </w:r>
      <w:r>
        <w:rPr>
          <w:rFonts w:ascii="Times New Roman" w:hAnsi="Times New Roman"/>
          <w:sz w:val="20"/>
          <w:u w:val="single"/>
        </w:rPr>
        <w:t>Initial Class A Lender Transferees</w:t>
      </w:r>
      <w:r>
        <w:rPr>
          <w:rFonts w:ascii="Times New Roman" w:hAnsi="Times New Roman"/>
          <w:sz w:val="20"/>
        </w:rPr>
        <w:t>”; the Initial Class A Lenders and the Initial Class A Lender Transferees, each individually, a “</w:t>
      </w:r>
      <w:r>
        <w:rPr>
          <w:rFonts w:ascii="Times New Roman" w:hAnsi="Times New Roman"/>
          <w:sz w:val="20"/>
          <w:u w:val="single"/>
        </w:rPr>
        <w:t>Class A Lender</w:t>
      </w:r>
      <w:r>
        <w:rPr>
          <w:rFonts w:ascii="Times New Roman" w:hAnsi="Times New Roman"/>
          <w:sz w:val="20"/>
        </w:rPr>
        <w:t>” and collectively, the “</w:t>
      </w:r>
      <w:r>
        <w:rPr>
          <w:rFonts w:ascii="Times New Roman" w:hAnsi="Times New Roman"/>
          <w:sz w:val="20"/>
          <w:u w:val="single"/>
        </w:rPr>
        <w:t>Class A Lenders</w:t>
      </w:r>
      <w:r>
        <w:rPr>
          <w:rFonts w:ascii="Times New Roman" w:hAnsi="Times New Roman"/>
          <w:sz w:val="20"/>
        </w:rPr>
        <w:t xml:space="preserve">”)) hereby agrees that: </w:t>
      </w:r>
    </w:p>
    <w:p>
      <w:pPr>
        <w:pStyle w:val="TextBody"/>
        <w:bidi w:val="0"/>
        <w:spacing w:before="120" w:after="0"/>
        <w:jc w:val="left"/>
        <w:rPr>
          <w:rFonts w:ascii="Times New Roman" w:hAnsi="Times New Roman"/>
          <w:sz w:val="20"/>
        </w:rPr>
      </w:pPr>
      <w:r>
        <w:rPr>
          <w:rFonts w:ascii="Times New Roman" w:hAnsi="Times New Roman"/>
          <w:sz w:val="20"/>
        </w:rPr>
        <w:t>(ii) At any time, the Applicable Buy-Out Lender(s) shall have the right, but not the obligation, by giving a written notice (a “</w:t>
      </w:r>
      <w:r>
        <w:rPr>
          <w:rFonts w:ascii="Times New Roman" w:hAnsi="Times New Roman"/>
          <w:sz w:val="20"/>
          <w:u w:val="single"/>
        </w:rPr>
        <w:t>Committed Buy-Out Notice</w:t>
      </w:r>
      <w:r>
        <w:rPr>
          <w:rFonts w:ascii="Times New Roman" w:hAnsi="Times New Roman"/>
          <w:sz w:val="20"/>
        </w:rPr>
        <w:t xml:space="preserve">”) to the Class A Lender Representative, for the benefit of the Class A Lenders, to acquire on a date within 10 Business Days after the date of Class A Lender Representative’s receipt of such Committed Buy-Out Notice, from the Class A Lenders all (but not less than all) of the right, title, and interest of the Class A Lenders in and to the Class A Obligations, the Class A Commitments, and the Transaction Documents (including without limitation, their interest in the Class A Commitments and the Class A Loans); </w:t>
      </w:r>
      <w:r>
        <w:rPr>
          <w:rFonts w:ascii="Times New Roman" w:hAnsi="Times New Roman"/>
          <w:sz w:val="20"/>
          <w:u w:val="single"/>
        </w:rPr>
        <w:t>provided</w:t>
      </w:r>
      <w:r>
        <w:rPr>
          <w:rFonts w:ascii="Times New Roman" w:hAnsi="Times New Roman"/>
          <w:sz w:val="20"/>
        </w:rPr>
        <w:t xml:space="preserve"> that if Class B Lender Representative and/or its Affiliates and Related Funds is not the Applicable Buy-Out Lender and at such time more than one Class B Lender has given a Committed Buy-Out Notice to the Class A Lender Representative, each such Class B Lender shall have the right to acquire an amount equal to its Percentage (as of the date its Committed Buy-Out Notice is delivered) of the right, title, and interest of the Class A Lenders in and to the Class A Obligations, the Class A Commitments, and the Transaction Documents (including without limitation, their interest in the Class A Commitments and the Class A Loans);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any Class B Lender elects not to exercise its option to purchase the Class A Obligations, that Class B Lender’s pro rata share may be allocated to any other Class B Lender exercising its option under this </w:t>
      </w:r>
      <w:r>
        <w:rPr>
          <w:rFonts w:ascii="Times New Roman" w:hAnsi="Times New Roman"/>
          <w:sz w:val="20"/>
          <w:u w:val="single"/>
        </w:rPr>
        <w:t>Section 9.04(a)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(iii) Upon the receipt by Class A Lender Representative, for the benefit of the Class A Lenders, of a Committed Buy-Out Notice, the Applicable Buy-Out Lender(s) irrevocably shall be committed to acquire, within 10 Business Days following such receipt, from the Class A Lenders all (but not less than all) of the right, title, and interest of the Class A Lenders in and to the Class A Obligations, the Class A Commitments, and the Transaction Documents (including without limitation, their interest in the Class A Commitments and the Class A Loans) by paying to Class A Lender Representative, for the benefit of the Class A Lenders, in cash a purchase price (the “</w:t>
      </w:r>
      <w:r>
        <w:rPr>
          <w:rFonts w:ascii="Times New Roman" w:hAnsi="Times New Roman"/>
          <w:sz w:val="20"/>
          <w:u w:val="single"/>
        </w:rPr>
        <w:t>Purchase Price</w:t>
      </w:r>
      <w:r>
        <w:rPr>
          <w:rFonts w:ascii="Times New Roman" w:hAnsi="Times New Roman"/>
          <w:sz w:val="20"/>
        </w:rPr>
        <w:t xml:space="preserve">”) equal to the sum of: </w:t>
      </w:r>
    </w:p>
    <w:p>
      <w:pPr>
        <w:pStyle w:val="TextBody"/>
        <w:bidi w:val="0"/>
        <w:spacing w:before="120" w:after="0"/>
        <w:jc w:val="left"/>
        <w:rPr>
          <w:rFonts w:ascii="Times New Roman" w:hAnsi="Times New Roman"/>
          <w:sz w:val="20"/>
        </w:rPr>
      </w:pPr>
      <w:r>
        <w:rPr>
          <w:rFonts w:ascii="Times New Roman" w:hAnsi="Times New Roman"/>
          <w:sz w:val="20"/>
        </w:rPr>
        <w:t xml:space="preserve">(A) 100% of the outstanding balance of the Class A Loans, including, without limitation, principal, interest accrued and unpaid thereon, and any unpaid Fees and any other fees, to the extent earned or due and payable to the Class A Lenders and their related Borrower Indemnified Parties and Servicer Indemnified Parties in accordance with the Transaction Documents;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all expenses to the extent owing to the Class A Lenders (including any Class A Lender in its capacity as sub-agent to the Administrative Agent) and their related Borrower Indemnified Parties and Servicer Indemnified Parties in accordance with the Transaction Documents (including, to the extent the Class A Lenders are entitled to be reimbursed pursuant to the Transaction Documents, the reimbursement of extraordinary expenses, reasonable attorney’s fees, financial examination expenses, and appraisal fees) and all other Borrower Obligations in respect of the Class A Loans and Class A Commitments;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(C) unless a Triggering Event has occurred and is continuing, an amount equal to the amount of any Early Termination Payment that would have been payable if the Class A Commitment had been voluntarily reduced to zero by the Borrower on such day. For purposes of this Agreement, a “</w:t>
      </w:r>
      <w:r>
        <w:rPr>
          <w:rFonts w:ascii="Times New Roman" w:hAnsi="Times New Roman"/>
          <w:sz w:val="20"/>
          <w:u w:val="single"/>
        </w:rPr>
        <w:t>Triggering Event</w:t>
      </w:r>
      <w:r>
        <w:rPr>
          <w:rFonts w:ascii="Times New Roman" w:hAnsi="Times New Roman"/>
          <w:sz w:val="20"/>
        </w:rPr>
        <w:t xml:space="preserve">” shall be continuing on or after the earliest of the date that any one or more of the following events has occurred and is continuing: </w:t>
      </w:r>
    </w:p>
    <w:p>
      <w:pPr>
        <w:pStyle w:val="TextBody"/>
        <w:bidi w:val="0"/>
        <w:spacing w:before="120" w:after="0"/>
        <w:jc w:val="left"/>
        <w:rPr>
          <w:rFonts w:ascii="Times New Roman" w:hAnsi="Times New Roman"/>
          <w:sz w:val="20"/>
        </w:rPr>
      </w:pPr>
      <w:r>
        <w:rPr>
          <w:rFonts w:ascii="Times New Roman" w:hAnsi="Times New Roman"/>
          <w:sz w:val="20"/>
        </w:rPr>
        <w:t xml:space="preserve">(1) the maturity of the Borrower Obligations has been accelerated based on an Event of Default under the Transaction Documents; </w:t>
      </w:r>
    </w:p>
    <w:p>
      <w:pPr>
        <w:pStyle w:val="TextBody"/>
        <w:bidi w:val="0"/>
        <w:spacing w:before="120" w:after="0"/>
        <w:jc w:val="left"/>
        <w:rPr>
          <w:rFonts w:ascii="Times New Roman" w:hAnsi="Times New Roman"/>
          <w:sz w:val="20"/>
        </w:rPr>
      </w:pPr>
      <w:r>
        <w:rPr>
          <w:rFonts w:ascii="Times New Roman" w:hAnsi="Times New Roman"/>
          <w:sz w:val="20"/>
        </w:rPr>
        <w:t xml:space="preserve">(2) any principal, interest or fees owing to any Lender shall not be paid in full when due and owing (after giving effect to any applicable grace period) or any other Borrower Obligations owing to any Lender in excess of $100,000 shall not be paid in full when due and owing (after giving effect to any applicable grace period); </w:t>
      </w:r>
    </w:p>
    <w:p>
      <w:pPr>
        <w:pStyle w:val="TextBody"/>
        <w:bidi w:val="0"/>
        <w:spacing w:before="120" w:after="0"/>
        <w:jc w:val="left"/>
        <w:rPr>
          <w:rFonts w:ascii="Times New Roman" w:hAnsi="Times New Roman"/>
          <w:sz w:val="20"/>
        </w:rPr>
      </w:pPr>
      <w:r>
        <w:rPr>
          <w:rFonts w:ascii="Times New Roman" w:hAnsi="Times New Roman"/>
          <w:sz w:val="20"/>
        </w:rPr>
        <w:t xml:space="preserve">(3) any Event of Default arising under Section 9.01(h); or </w:t>
      </w:r>
    </w:p>
    <w:p>
      <w:pPr>
        <w:pStyle w:val="TextBody"/>
        <w:bidi w:val="0"/>
        <w:spacing w:before="120" w:after="0"/>
        <w:jc w:val="left"/>
        <w:rPr>
          <w:rFonts w:ascii="Times New Roman" w:hAnsi="Times New Roman"/>
          <w:sz w:val="20"/>
        </w:rPr>
      </w:pPr>
      <w:r>
        <w:rPr>
          <w:rFonts w:ascii="Times New Roman" w:hAnsi="Times New Roman"/>
          <w:sz w:val="20"/>
        </w:rPr>
        <w:t xml:space="preserve">(4) any Event of Default arising under </w:t>
      </w:r>
      <w:r>
        <w:rPr>
          <w:rFonts w:ascii="Times New Roman" w:hAnsi="Times New Roman"/>
          <w:sz w:val="20"/>
          <w:u w:val="single"/>
        </w:rPr>
        <w:t>Sections 9.01(m)</w:t>
      </w:r>
      <w:r>
        <w:rPr>
          <w:rFonts w:ascii="Times New Roman" w:hAnsi="Times New Roman"/>
          <w:sz w:val="20"/>
        </w:rPr>
        <w:t xml:space="preserve"> or </w:t>
      </w:r>
      <w:r>
        <w:rPr>
          <w:rFonts w:ascii="Times New Roman" w:hAnsi="Times New Roman"/>
          <w:sz w:val="20"/>
          <w:u w:val="single"/>
        </w:rPr>
        <w:t>(n)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whereupon the Class A Lenders shall assign to the Applicable Buy-Out Lender(s), without any representation, recourse, or warranty whatsoever shall warrant to the Applicable Buy-Out Lender(s) that (1) the amount quoted by such Class A Lender as its portion of the purchase price represents the amount shown as owing with respect to the claims transferred as reflected on its books and records, (2) it owns, or has the right to transfer to the Applicable Buy-Out Lender(s), the rights being transferred, and (3) the assets being transferred will be free and clear of Liens and adverse claims), their right, title, and interest with respect to the Class A Obligations, the Class A Commitments, and the Transaction Documents) pursuant to an Assignment and Acceptance Agreement. </w:t>
      </w:r>
    </w:p>
    <w:p>
      <w:pPr>
        <w:pStyle w:val="TextBody"/>
        <w:bidi w:val="0"/>
        <w:spacing w:before="120" w:after="0"/>
        <w:jc w:val="left"/>
        <w:rPr>
          <w:rFonts w:ascii="Times New Roman" w:hAnsi="Times New Roman"/>
          <w:sz w:val="20"/>
        </w:rPr>
      </w:pPr>
      <w:r>
        <w:rPr>
          <w:rFonts w:ascii="Times New Roman" w:hAnsi="Times New Roman"/>
          <w:sz w:val="20"/>
        </w:rPr>
        <w:t xml:space="preserve">(iv) Anything contained in this </w:t>
      </w:r>
      <w:r>
        <w:rPr>
          <w:rFonts w:ascii="Times New Roman" w:hAnsi="Times New Roman"/>
          <w:sz w:val="20"/>
          <w:u w:val="single"/>
        </w:rPr>
        <w:t>Section 9.04(a)</w:t>
      </w:r>
      <w:r>
        <w:rPr>
          <w:rFonts w:ascii="Times New Roman" w:hAnsi="Times New Roman"/>
          <w:sz w:val="20"/>
        </w:rPr>
        <w:t xml:space="preserve"> to the contrary notwithstanding, in the event that any Applicable Buy-Out Lender(s) receives any prepayment or commitment reduction premium under the Transaction Documents in cash, within six months following the date on which such Applicable Buy-Out Lender(s) pays the Purchase Price during the continuation of a Triggering Event pursuant to this </w:t>
      </w:r>
      <w:r>
        <w:rPr>
          <w:rFonts w:ascii="Times New Roman" w:hAnsi="Times New Roman"/>
          <w:sz w:val="20"/>
          <w:u w:val="single"/>
        </w:rPr>
        <w:t>Section 9.04(a)</w:t>
      </w:r>
      <w:r>
        <w:rPr>
          <w:rFonts w:ascii="Times New Roman" w:hAnsi="Times New Roman"/>
          <w:sz w:val="20"/>
        </w:rPr>
        <w:t xml:space="preserve">, then such Applicable Buy-Out Lender(s) shall pay a supplemental purchase price in respect of its purchase under this </w:t>
      </w:r>
      <w:r>
        <w:rPr>
          <w:rFonts w:ascii="Times New Roman" w:hAnsi="Times New Roman"/>
          <w:sz w:val="20"/>
          <w:u w:val="single"/>
        </w:rPr>
        <w:t xml:space="preserve">Section 9.04(a) </w:t>
      </w:r>
      <w:r>
        <w:rPr>
          <w:rFonts w:ascii="Times New Roman" w:hAnsi="Times New Roman"/>
          <w:sz w:val="20"/>
        </w:rPr>
        <w:t xml:space="preserve">in an amount equal to the portion of such prepayment or commitment reduction premium to which the applicable Class A Lenders would have otherwise been entitled had the purchase under this </w:t>
      </w:r>
      <w:r>
        <w:rPr>
          <w:rFonts w:ascii="Times New Roman" w:hAnsi="Times New Roman"/>
          <w:sz w:val="20"/>
          <w:u w:val="single"/>
        </w:rPr>
        <w:t>Section 9.04(a)</w:t>
      </w:r>
      <w:r>
        <w:rPr>
          <w:rFonts w:ascii="Times New Roman" w:hAnsi="Times New Roman"/>
          <w:sz w:val="20"/>
        </w:rPr>
        <w:t xml:space="preserve"> not occurred during a Triggering Event. </w:t>
      </w:r>
    </w:p>
    <w:p>
      <w:pPr>
        <w:pStyle w:val="TextBody"/>
        <w:bidi w:val="0"/>
        <w:spacing w:before="120" w:after="0"/>
        <w:jc w:val="left"/>
        <w:rPr>
          <w:rFonts w:ascii="Times New Roman" w:hAnsi="Times New Roman"/>
          <w:sz w:val="20"/>
        </w:rPr>
      </w:pPr>
      <w:r>
        <w:rPr>
          <w:rFonts w:ascii="Times New Roman" w:hAnsi="Times New Roman"/>
          <w:sz w:val="20"/>
        </w:rPr>
        <w:t xml:space="preserve">(v) The Class A Lenders shall retain all indemnification rights under the Transaction Documents for actions or other matters arising on or prior to the date of such purchase and any obligations arising from such rights shall at all times retain the priority of repayment therefor set forth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Insolvency Proceeding</w:t>
      </w:r>
      <w:r>
        <w:rPr>
          <w:rFonts w:ascii="Times New Roman" w:hAnsi="Times New Roman"/>
          <w:sz w:val="20"/>
        </w:rPr>
        <w:t xml:space="preserve">. The parties acknowledge that the Borrower is expected to comply with various special purpose entity and bankruptcy remoteness requirements under the Transaction Documents, and as such, the Borrower is not anticipated to become a debtor at any time under the Bankruptcy Code or any similar Debtor Relief Law. Subject to the foregoing: </w:t>
      </w:r>
    </w:p>
    <w:p>
      <w:pPr>
        <w:pStyle w:val="TextBody"/>
        <w:bidi w:val="0"/>
        <w:spacing w:before="120" w:after="0"/>
        <w:jc w:val="left"/>
        <w:rPr>
          <w:rFonts w:ascii="Times New Roman" w:hAnsi="Times New Roman"/>
          <w:sz w:val="20"/>
        </w:rPr>
      </w:pPr>
      <w:r>
        <w:rPr>
          <w:rFonts w:ascii="Times New Roman" w:hAnsi="Times New Roman"/>
          <w:sz w:val="20"/>
        </w:rPr>
        <w:t xml:space="preserve">(i) This Agreement shall be applicable both before and after the institution of any Relief Proceeding involving Borrower, including without limitation, the filing of any petition by or against Borrower under the Bankruptcy Code, or any other Debtor Relief Law, and all converted or succeeding cases in respect thereof, and all references herein to Borrower shall be deemed to apply to the trustee for Borrower and Borrower as debtor-in-possession. The relative rights of the Lenders in or to any distributions from or in respect of any Collateral or proceeds of Collateral shall continue after the institution of any Relief Proceeding involving Borrower, including without limitation, the filing of any petition by or against Borrower under the Bankruptcy Code, or any other Debtor Relief Law, and all converted or succeeding cases in respect thereof, on the same basis as prior to the date of such institution, subject to any court order approving the financing of, or use of cash collateral by, Borrower as debtor-in-possession.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 If Borrower shall become subject to a case under the Bankruptcy Code, or any other Debtor Relief Law, each Class B Lender agrees that it will not provide to Borrower as debtor-in-possession or a trustee on behalf of Borrower any financing under Section 364 of the Bankruptcy Code, or any similar provision of any other Debtor Relief Law (“</w:t>
      </w:r>
      <w:r>
        <w:rPr>
          <w:rFonts w:ascii="Times New Roman" w:hAnsi="Times New Roman"/>
          <w:sz w:val="20"/>
          <w:u w:val="single"/>
        </w:rPr>
        <w:t>DIP Financing</w:t>
      </w:r>
      <w:r>
        <w:rPr>
          <w:rFonts w:ascii="Times New Roman" w:hAnsi="Times New Roman"/>
          <w:sz w:val="20"/>
        </w:rPr>
        <w:t xml:space="preserve">”) to the extent that or any Class B Lender would, in connection with such DIP Financing, be granted a Lien on the Collateral or superpriority claim or other claim against Borrower that had priority over any Lien of the Administrative Agent in and to such Collateral securing, or the claim of the Administrative Agent for repayment of, the Borrower Obligations (or any portion thereof), so long as the Class A Obligations are outstanding. If Borrower shall become subject to a case under the Bankruptcy Code, or any other Debtor Relief Law, each Class A Lender agrees that it will not provide to Borrower as debtor-in-possession or a trustee on behalf of Borrower any DIP Financing to the extent that or any Class A Lender would, in connection with such DIP Financing, be granted a Lien on the Collateral or superpriority claim or other claim against Borrower that was pari passu with or had priority over any Lien of the Administrative Agent in and to such Collateral securing, or the claim of the Administrative Agent for repayment of, the Borrower Obligations (or any portion thereof), so long as the Class B Term Obligations are outstanding. No Class A Lender may, directly or indirectly, provide, offer to provide, or participate in (by participation, guarantee or similar credit enhancement) any DIP Financing unless the Class B Lenders do not provide any DIP Financing. </w:t>
      </w:r>
    </w:p>
    <w:p>
      <w:pPr>
        <w:pStyle w:val="TextBody"/>
        <w:bidi w:val="0"/>
        <w:spacing w:before="120" w:after="0"/>
        <w:jc w:val="left"/>
        <w:rPr>
          <w:rFonts w:ascii="Times New Roman" w:hAnsi="Times New Roman"/>
          <w:sz w:val="20"/>
        </w:rPr>
      </w:pPr>
      <w:r>
        <w:rPr>
          <w:rFonts w:ascii="Times New Roman" w:hAnsi="Times New Roman"/>
          <w:sz w:val="20"/>
        </w:rPr>
        <w:t xml:space="preserve">(iii) Each Class A Lender agrees that it shall support and vote in favor of any plan of reorganization or other transaction proposed by the Required Class B Lenders which would result in the Class A Obligations being paid in full. </w:t>
      </w:r>
    </w:p>
    <w:p>
      <w:pPr>
        <w:pStyle w:val="TextBody"/>
        <w:bidi w:val="0"/>
        <w:spacing w:before="120" w:after="0"/>
        <w:jc w:val="left"/>
        <w:rPr>
          <w:rFonts w:ascii="Times New Roman" w:hAnsi="Times New Roman"/>
          <w:sz w:val="20"/>
        </w:rPr>
      </w:pPr>
      <w:r>
        <w:rPr>
          <w:rFonts w:ascii="Times New Roman" w:hAnsi="Times New Roman"/>
          <w:sz w:val="20"/>
        </w:rPr>
        <w:t xml:space="preserve">(iv) The provisions of this </w:t>
      </w:r>
      <w:r>
        <w:rPr>
          <w:rFonts w:ascii="Times New Roman" w:hAnsi="Times New Roman"/>
          <w:sz w:val="20"/>
          <w:u w:val="single"/>
        </w:rPr>
        <w:t>Section 9.04(c)</w:t>
      </w:r>
      <w:r>
        <w:rPr>
          <w:rFonts w:ascii="Times New Roman" w:hAnsi="Times New Roman"/>
          <w:sz w:val="20"/>
        </w:rPr>
        <w:t xml:space="preserve"> are applicable only to a case under the Bankruptcy Code or any other Debtor Relief Law in which the Borrower is the debtor or debtor in possession. Nothing set forth herein shall limit the rights of the parties hereto in any case under the Bankruptcy Code or any other Debtor Relief Law in which a Loan Party or any Affiliate thereof (other than the Borrower) is the debtor or debtor in possession.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240" w:after="0"/>
        <w:jc w:val="center"/>
        <w:rPr>
          <w:rFonts w:ascii="Times New Roman" w:hAnsi="Times New Roman"/>
          <w:b/>
          <w:sz w:val="20"/>
        </w:rPr>
      </w:pPr>
      <w:r>
        <w:rPr>
          <w:rFonts w:ascii="Times New Roman" w:hAnsi="Times New Roman"/>
          <w:b/>
          <w:sz w:val="20"/>
        </w:rPr>
        <w:t xml:space="preserve">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SECTION 10.01 </w:t>
      </w:r>
      <w:r>
        <w:rPr>
          <w:rFonts w:ascii="Times New Roman" w:hAnsi="Times New Roman"/>
          <w:b/>
          <w:sz w:val="20"/>
          <w:u w:val="single"/>
        </w:rPr>
        <w:t>Appointment and Authority</w:t>
      </w:r>
      <w:r>
        <w:rPr>
          <w:rFonts w:ascii="Times New Roman" w:hAnsi="Times New Roman"/>
          <w:sz w:val="20"/>
        </w:rPr>
        <w:t xml:space="preserve">. Each Credit Party hereby irrevocably appoints PNC Bank, National Association to act on its behalf as the Administrative Agent hereunder and under the other Transaction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and the Credit Parties, and the Borrower-Related Parties shall not have rights as a third-party beneficiary of any of such provisions. It is understood and agreed that the use of the term “agent” herein or in any other Transaction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10.02 </w:t>
      </w:r>
      <w:r>
        <w:rPr>
          <w:rFonts w:ascii="Times New Roman" w:hAnsi="Times New Roman"/>
          <w:b/>
          <w:sz w:val="20"/>
          <w:u w:val="single"/>
        </w:rPr>
        <w:t>Rights as a Lender</w:t>
      </w:r>
      <w:r>
        <w:rPr>
          <w:rFonts w:ascii="Times New Roman" w:hAnsi="Times New Roman"/>
          <w:sz w:val="20"/>
        </w:rPr>
        <w:t xml:space="preserve">.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any Borrower-Related Party or any Subsidiary or other Affiliate thereof as if such Person were not the Administrative Agent hereunder and without any duty to account therefor to the Lenders. </w:t>
      </w:r>
    </w:p>
    <w:p>
      <w:pPr>
        <w:pStyle w:val="TextBody"/>
        <w:bidi w:val="0"/>
        <w:spacing w:before="240" w:after="0"/>
        <w:jc w:val="left"/>
        <w:rPr>
          <w:rFonts w:ascii="Times New Roman" w:hAnsi="Times New Roman"/>
          <w:sz w:val="20"/>
        </w:rPr>
      </w:pPr>
      <w:r>
        <w:rPr>
          <w:rFonts w:ascii="Times New Roman" w:hAnsi="Times New Roman"/>
          <w:sz w:val="20"/>
        </w:rPr>
        <w:t xml:space="preserve">SECTION 10.03 </w:t>
      </w:r>
      <w:r>
        <w:rPr>
          <w:rFonts w:ascii="Times New Roman" w:hAnsi="Times New Roman"/>
          <w:b/>
          <w:sz w:val="20"/>
          <w:u w:val="single"/>
        </w:rPr>
        <w:t>Exculpatory Provisions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Administrative Agent shall not have any duties or obligations except those expressly specified herein and in the other Transaction Documents, and its duties hereunder shall be administrative in nature. Without limiting the generality of the foregoing,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 shall not be subject to any fiduciary or other implied duties, regardless of whether a Potential Default or Event of Default has occurred and is continuing; </w:t>
      </w:r>
    </w:p>
    <w:p>
      <w:pPr>
        <w:pStyle w:val="TextBody"/>
        <w:bidi w:val="0"/>
        <w:spacing w:before="120" w:after="0"/>
        <w:jc w:val="left"/>
        <w:rPr>
          <w:rFonts w:ascii="Times New Roman" w:hAnsi="Times New Roman"/>
          <w:sz w:val="20"/>
        </w:rPr>
      </w:pPr>
      <w:r>
        <w:rPr>
          <w:rFonts w:ascii="Times New Roman" w:hAnsi="Times New Roman"/>
          <w:sz w:val="20"/>
        </w:rPr>
        <w:t xml:space="preserve">(ii) shall not have any duty to take any discretionary action or exercise any discretionary powers, except discretionary rights and powers expressly contemplated hereby or by the other Transaction Documents that the Administrative Agent is required to exercise as directed in writing by the Required Lenders (or such other number or percentage of the Lenders as shall be expressly provided for herein or in the other Transaction Documents); provided that the Administrative Agent shall not be required to take any action that, in its opinion or the opinion of its counsel, may expose the Administrative Agent to liability or that is contrary to any Transaction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 </w:t>
      </w:r>
    </w:p>
    <w:p>
      <w:pPr>
        <w:pStyle w:val="TextBody"/>
        <w:bidi w:val="0"/>
        <w:spacing w:before="120" w:after="0"/>
        <w:jc w:val="left"/>
        <w:rPr>
          <w:rFonts w:ascii="Times New Roman" w:hAnsi="Times New Roman"/>
          <w:sz w:val="20"/>
        </w:rPr>
      </w:pPr>
      <w:r>
        <w:rPr>
          <w:rFonts w:ascii="Times New Roman" w:hAnsi="Times New Roman"/>
          <w:sz w:val="20"/>
        </w:rPr>
        <w:t xml:space="preserve">(iii) shall not, except as expressly specified herein and in the other Transaction Documents, have any duty to disclose, and shall not be liable for the failure to disclose, any information relating to any Borrower-Related Party or any of its Affiliates that is communicated to or obtained by the Person serving as the Administrative Agent or any of its Affiliates in any capacity. </w:t>
      </w:r>
    </w:p>
    <w:p>
      <w:pPr>
        <w:pStyle w:val="TextBody"/>
        <w:bidi w:val="0"/>
        <w:spacing w:before="120" w:after="0"/>
        <w:jc w:val="left"/>
        <w:rPr>
          <w:rFonts w:ascii="Times New Roman" w:hAnsi="Times New Roman"/>
          <w:sz w:val="20"/>
        </w:rPr>
      </w:pPr>
      <w:r>
        <w:rPr>
          <w:rFonts w:ascii="Times New Roman" w:hAnsi="Times New Roman"/>
          <w:sz w:val="20"/>
        </w:rPr>
        <w:t xml:space="preserve">(b) 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hAnsi="Times New Roman"/>
          <w:sz w:val="20"/>
          <w:u w:val="single"/>
        </w:rPr>
        <w:t>Sections 12.01</w:t>
      </w:r>
      <w:r>
        <w:rPr>
          <w:rFonts w:ascii="Times New Roman" w:hAnsi="Times New Roman"/>
          <w:sz w:val="20"/>
        </w:rPr>
        <w:t xml:space="preserve">, </w:t>
      </w:r>
      <w:r>
        <w:rPr>
          <w:rFonts w:ascii="Times New Roman" w:hAnsi="Times New Roman"/>
          <w:sz w:val="20"/>
          <w:u w:val="single"/>
        </w:rPr>
        <w:t>8.04</w:t>
      </w:r>
      <w:r>
        <w:rPr>
          <w:rFonts w:ascii="Times New Roman" w:hAnsi="Times New Roman"/>
          <w:sz w:val="20"/>
        </w:rPr>
        <w:t xml:space="preserv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9.02</w:t>
      </w:r>
      <w:r>
        <w:rPr>
          <w:rFonts w:ascii="Times New Roman" w:hAnsi="Times New Roman"/>
          <w:sz w:val="20"/>
        </w:rPr>
        <w:t xml:space="preserve">), or (ii) in the absence of its own gross negligence or willful misconduct as determined by a court of competent jurisdiction by final and nonappealable judgment. The Administrative Agent shall be deemed not to have knowledge of any Potential Default, Financial Covenant Event or Event of Default unless and until notice describing such Potential Default, Financial Covenant Event or Event of Default is given to the Administrative Agent in writing by any Borrower-Related Party or a Lender. </w:t>
      </w:r>
    </w:p>
    <w:p>
      <w:pPr>
        <w:pStyle w:val="TextBody"/>
        <w:bidi w:val="0"/>
        <w:spacing w:before="120" w:after="0"/>
        <w:jc w:val="left"/>
        <w:rPr>
          <w:rFonts w:ascii="Times New Roman" w:hAnsi="Times New Roman"/>
          <w:sz w:val="20"/>
        </w:rPr>
      </w:pPr>
      <w:r>
        <w:rPr>
          <w:rFonts w:ascii="Times New Roman" w:hAnsi="Times New Roman"/>
          <w:sz w:val="20"/>
        </w:rPr>
        <w:t xml:space="preserve">(c) The Administrative Agent shall not be responsible for or have any duty to ascertain or inquire into (i) any statement, warranty or representation made in or in connection with this Agreement or any other Transaction Document, (ii) the contents of any certificate, report or other document delivered hereunder or thereunder or in connection herewith or therewith, (iii) the performance or observance of any of the covenants, agreements or other terms or conditions specified herein or therein or the occurrence of any Potential Default, Financial Covenant Event or Event of Default, (iv) the validity, enforceability, effectiveness or genuineness of this Agreement, any other Transaction Document or any other agreement, instrument or document, or (v) the satisfaction of any condition precedent to a Credit Extension, other than to confirm receipt of items expressly required to be delivered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SECTION 10.04 </w:t>
      </w:r>
      <w:r>
        <w:rPr>
          <w:rFonts w:ascii="Times New Roman" w:hAnsi="Times New Roman"/>
          <w:b/>
          <w:sz w:val="20"/>
          <w:u w:val="single"/>
        </w:rPr>
        <w:t>Reliance by Administrative Agent</w:t>
      </w:r>
      <w:r>
        <w:rPr>
          <w:rFonts w:ascii="Times New Roman" w:hAnsi="Times New Roman"/>
          <w:sz w:val="20"/>
        </w:rPr>
        <w:t xml:space="preserve">.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Credit Extension, that by its terms must be fulfilled to the satisfaction of a Credit Party, the Administrative Agent may presume that such condition is satisfactory to such Credit Party unless the Administrative Agent shall have received notice to the contrary from such Credit Party prior to the making of such Credit Extension.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 </w:t>
      </w:r>
    </w:p>
    <w:p>
      <w:pPr>
        <w:pStyle w:val="TextBody"/>
        <w:bidi w:val="0"/>
        <w:spacing w:before="240" w:after="0"/>
        <w:jc w:val="left"/>
        <w:rPr>
          <w:rFonts w:ascii="Times New Roman" w:hAnsi="Times New Roman"/>
          <w:sz w:val="20"/>
        </w:rPr>
      </w:pPr>
      <w:r>
        <w:rPr>
          <w:rFonts w:ascii="Times New Roman" w:hAnsi="Times New Roman"/>
          <w:sz w:val="20"/>
        </w:rPr>
        <w:t xml:space="preserve">SECTION 10.05 </w:t>
      </w:r>
      <w:r>
        <w:rPr>
          <w:rFonts w:ascii="Times New Roman" w:hAnsi="Times New Roman"/>
          <w:b/>
          <w:sz w:val="20"/>
          <w:u w:val="single"/>
        </w:rPr>
        <w:t>Delegation of Duties</w:t>
      </w:r>
      <w:r>
        <w:rPr>
          <w:rFonts w:ascii="Times New Roman" w:hAnsi="Times New Roman"/>
          <w:sz w:val="20"/>
        </w:rPr>
        <w:t xml:space="preserve">. The Administrative Agent may perform any and all of its duties and exercise its rights and powers hereunder or under any other Transaction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facilities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10.06 </w:t>
      </w:r>
      <w:r>
        <w:rPr>
          <w:rFonts w:ascii="Times New Roman" w:hAnsi="Times New Roman"/>
          <w:b/>
          <w:sz w:val="20"/>
          <w:u w:val="single"/>
        </w:rPr>
        <w:t>Resignation of Administrative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Administrative Agent may at any time give notice of its resignation to the Credit Parties and the Borrower. Upon receipt of any such notice of resignation, the Required Lenders shall have the right, in consultation with the Borrower (so long as no Potential Default, Financial Covenant Event or Event of Default has occurred and is continuing), to appoint a successor, which shall be a bank with an office in New York, New York, or an Affiliate of any such bank with an office in New York, New York. If no such successor shall have been so appointed by the Required Lenders and shall have accepted such appointment within (x) if an Event of Default is occurring and PNC is a Class A Lender at such time, within 60 days after the Class A Exposure has been reduced to zero or (y) in all other cases, within 60 days after the retiring Administrative Agent gives notice of its resignation (the “</w:t>
      </w:r>
      <w:r>
        <w:rPr>
          <w:rFonts w:ascii="Times New Roman" w:hAnsi="Times New Roman"/>
          <w:sz w:val="20"/>
          <w:u w:val="single"/>
        </w:rPr>
        <w:t>Resignation Effective Date</w:t>
      </w:r>
      <w:r>
        <w:rPr>
          <w:rFonts w:ascii="Times New Roman" w:hAnsi="Times New Roman"/>
          <w:sz w:val="20"/>
        </w:rPr>
        <w:t xml:space="preserve">”), then the retiring Administrative Agent may (but shall not be obligated to), on behalf of the Credit Parties, appoint a successor Administrative Agent meeting the qualifications specified above; </w:t>
      </w:r>
      <w:r>
        <w:rPr>
          <w:rFonts w:ascii="Times New Roman" w:hAnsi="Times New Roman"/>
          <w:sz w:val="20"/>
          <w:u w:val="single"/>
        </w:rPr>
        <w:t>provided</w:t>
      </w:r>
      <w:r>
        <w:rPr>
          <w:rFonts w:ascii="Times New Roman" w:hAnsi="Times New Roman"/>
          <w:sz w:val="20"/>
        </w:rPr>
        <w:t xml:space="preserve"> that in no event shall any such successor Administrative Agent be a Defaulting Lender. Whether or not a successor has been appointed, such resignation shall become effective in accordance with such notice on the Resignation Effective Date. At any time that (i) PNC is acting as the Administrative Agent and (ii) the Class A Exposure has been reduced to zero, then (x) PNC, as Administrative Agent, shall be entitled to receive the Administrative Agent Transition Fee and (y) the Required Class B Lenders shall have the right to appoint the successor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(b) If the Person serving as Administrative Agent is a Defaulting Lender pursuant to </w:t>
      </w:r>
      <w:r>
        <w:rPr>
          <w:rFonts w:ascii="Times New Roman" w:hAnsi="Times New Roman"/>
          <w:sz w:val="20"/>
          <w:u w:val="single"/>
        </w:rPr>
        <w:t>clause (d)</w:t>
      </w:r>
      <w:r>
        <w:rPr>
          <w:rFonts w:ascii="Times New Roman" w:hAnsi="Times New Roman"/>
          <w:sz w:val="20"/>
        </w:rPr>
        <w:t> 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Times New Roman" w:hAnsi="Times New Roman"/>
          <w:sz w:val="20"/>
          <w:u w:val="single"/>
        </w:rPr>
        <w:t>Removal Effective Date</w:t>
      </w:r>
      <w:r>
        <w:rPr>
          <w:rFonts w:ascii="Times New Roman" w:hAnsi="Times New Roman"/>
          <w:sz w:val="20"/>
        </w:rPr>
        <w:t xml:space="preserve">”), then such removal shall nonetheless become effective in accordance with such notice on the Removal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(c) With effect from the Resignation Effective Date or the Removal Effective Date (as applicable) (i) the retiring or removed Administrative Agent shall be discharged from its duties and obligations hereunder and under the other Transaction Documents (except that in the case of any collateral security held by the Administrative Agent on behalf of the Secured Parties under any of the Transaction Documents, the retiring or removed Administrative Agent shall continue to hold such collateral security until such time as a successor Administrative Agent is appointed) and (ii) except for any indemnity payments owed to the retiring or removed Administrative Agent, all payments, communications and determinations provided to be made by, to or through the Administrative Agent shall instead be made by or to each Credit Party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Transaction Documents. The fees payable by the Borrower to a successor Administrative Agent shall be the same as those payable to its predecessor unless otherwise agreed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between the Borrower and such successor. After the retiring or removed Administrative Agent’s resignation or removal hereunder and under the other Transaction Documents, the provisions of this </w:t>
      </w:r>
      <w:r>
        <w:rPr>
          <w:rFonts w:ascii="Times New Roman" w:hAnsi="Times New Roman"/>
          <w:sz w:val="20"/>
          <w:u w:val="single"/>
        </w:rPr>
        <w:t>Article X</w:t>
      </w:r>
      <w:r>
        <w:rPr>
          <w:rFonts w:ascii="Times New Roman" w:hAnsi="Times New Roman"/>
          <w:sz w:val="20"/>
        </w:rPr>
        <w:t xml:space="preserve"> and </w:t>
      </w:r>
      <w:r>
        <w:rPr>
          <w:rFonts w:ascii="Times New Roman" w:hAnsi="Times New Roman"/>
          <w:sz w:val="20"/>
          <w:u w:val="single"/>
        </w:rPr>
        <w:t>Article XI</w:t>
      </w:r>
      <w:r>
        <w:rPr>
          <w:rFonts w:ascii="Times New Roman" w:hAnsi="Times New Roman"/>
          <w:sz w:val="20"/>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SECTION 10.07 </w:t>
      </w:r>
      <w:r>
        <w:rPr>
          <w:rFonts w:ascii="Times New Roman" w:hAnsi="Times New Roman"/>
          <w:b/>
          <w:sz w:val="20"/>
          <w:u w:val="single"/>
        </w:rPr>
        <w:t>Non-Reliance on Administrative Agent and Other Lenders</w:t>
      </w:r>
      <w:r>
        <w:rPr>
          <w:rFonts w:ascii="Times New Roman" w:hAnsi="Times New Roman"/>
          <w:sz w:val="20"/>
        </w:rPr>
        <w:t xml:space="preserve">. Each Credit Party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Transaction Document or any related agreement or any document furnished hereunder or thereunder.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10.08 </w:t>
      </w:r>
      <w:r>
        <w:rPr>
          <w:rFonts w:ascii="Times New Roman" w:hAnsi="Times New Roman"/>
          <w:b/>
          <w:sz w:val="20"/>
          <w:u w:val="single"/>
        </w:rPr>
        <w:t>No Other Duties, Etc</w:t>
      </w:r>
      <w:r>
        <w:rPr>
          <w:rFonts w:ascii="Times New Roman" w:hAnsi="Times New Roman"/>
          <w:sz w:val="20"/>
        </w:rPr>
        <w:t xml:space="preserve">. Anything herein to the contrary notwithstanding, none of bookrunners or arrangers listed on the cover page hereof shall have any powers, duties or responsibilities under this Agreement or any of the other Transaction Documents, except in its capacity, as applicable, as the Administrative Agent or a Lender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10.09 </w:t>
      </w:r>
      <w:r>
        <w:rPr>
          <w:rFonts w:ascii="Times New Roman" w:hAnsi="Times New Roman"/>
          <w:b/>
          <w:sz w:val="20"/>
          <w:u w:val="single"/>
        </w:rPr>
        <w:t>Administrative Agent May File Proofs of Claim</w:t>
      </w:r>
      <w:r>
        <w:rPr>
          <w:rFonts w:ascii="Times New Roman" w:hAnsi="Times New Roman"/>
          <w:sz w:val="20"/>
        </w:rPr>
        <w:t xml:space="preserve">. In case of the pendency of any proceeding under any Debtor Relief Law or any other judicial proceeding relative to any Borrower-Related Party, the Administrative Agent (irrespective of whether any Principal or other Borrower Obligation shall then be due and payable as herein expressed or by declaration or otherwise and irrespective of whether the Administrative Agent shall have made any demand on the Borrower) shall be entitled and empowered (but not obligated) by intervention in such proceeding or otherwise: </w:t>
      </w:r>
    </w:p>
    <w:p>
      <w:pPr>
        <w:pStyle w:val="TextBody"/>
        <w:bidi w:val="0"/>
        <w:spacing w:before="120" w:after="0"/>
        <w:jc w:val="left"/>
        <w:rPr>
          <w:rFonts w:ascii="Times New Roman" w:hAnsi="Times New Roman"/>
          <w:sz w:val="20"/>
        </w:rPr>
      </w:pPr>
      <w:r>
        <w:rPr>
          <w:rFonts w:ascii="Times New Roman" w:hAnsi="Times New Roman"/>
          <w:sz w:val="20"/>
        </w:rPr>
        <w:t xml:space="preserve">(a) to file and prove a claim for the whole amount of the principal and interest owing and unpaid in respect of any Credit Extension and all other Borrower Obligations that are owing and unpaid and to file such other documents as may be necessary or advisable in order to have the claims of the Credit Parties and the Administrative Agent (including any claim for the reasonable compensation, expenses, disbursements and advances of the Credit Parties and the Administrative Agent and their respective agents and counsel and all other amounts due the Credit Parties and the Administrative Agent) allowed in such judicial proceeding; and </w:t>
      </w:r>
    </w:p>
    <w:p>
      <w:pPr>
        <w:pStyle w:val="TextBody"/>
        <w:bidi w:val="0"/>
        <w:spacing w:before="120" w:after="0"/>
        <w:jc w:val="left"/>
        <w:rPr>
          <w:rFonts w:ascii="Times New Roman" w:hAnsi="Times New Roman"/>
          <w:sz w:val="20"/>
        </w:rPr>
      </w:pPr>
      <w:r>
        <w:rPr>
          <w:rFonts w:ascii="Times New Roman" w:hAnsi="Times New Roman"/>
          <w:sz w:val="20"/>
        </w:rPr>
        <w:t xml:space="preserve">(b) to collect and receive any monies or other property payable or deliverable on any such claims and to distribute the same; </w:t>
      </w:r>
    </w:p>
    <w:p>
      <w:pPr>
        <w:pStyle w:val="TextBody"/>
        <w:bidi w:val="0"/>
        <w:spacing w:before="240" w:after="0"/>
        <w:jc w:val="left"/>
        <w:rPr>
          <w:rFonts w:ascii="Times New Roman" w:hAnsi="Times New Roman"/>
          <w:sz w:val="20"/>
        </w:rPr>
      </w:pPr>
      <w:r>
        <w:rPr>
          <w:rFonts w:ascii="Times New Roman" w:hAnsi="Times New Roman"/>
          <w:sz w:val="20"/>
        </w:rPr>
        <w:t xml:space="preserve">and any custodian, receiver, assignee, trustee, liquidator, sequestrator or other similar official in any such judicial proceeding is hereby authorized by each Credit Party to make such payments to the Administrative Agent and, in the event that the Administrative Agent shall consent to the making of such payments directly to the Credit Party, to pay to the Administrative Agent any amount due for the reasonable compensation, expenses, disbursements and advances of the Administrative Agent and its agents and counsel, and any other amounts due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10.10 </w:t>
      </w:r>
      <w:r>
        <w:rPr>
          <w:rFonts w:ascii="Times New Roman" w:hAnsi="Times New Roman"/>
          <w:b/>
          <w:sz w:val="20"/>
          <w:u w:val="single"/>
        </w:rPr>
        <w:t>Collateral and Guaranty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of the Secured Parties irrevocably authorizes the Administrative Agent, at its option and in its discretion to release any Lien on any Collateral or other property granted to or held by the Administrative Agent under any Transaction Document (x) upon the Final Payout Date, (y) that is sold or otherwise disposed of or to be sold or otherwise disposed of as part of or in connection with any sale or other disposition permitted under the Transaction Documents, or (z) subject to </w:t>
      </w:r>
      <w:r>
        <w:rPr>
          <w:rFonts w:ascii="Times New Roman" w:hAnsi="Times New Roman"/>
          <w:sz w:val="20"/>
          <w:u w:val="single"/>
        </w:rPr>
        <w:t>Section 12.01</w:t>
      </w:r>
      <w:r>
        <w:rPr>
          <w:rFonts w:ascii="Times New Roman" w:hAnsi="Times New Roman"/>
          <w:sz w:val="20"/>
        </w:rPr>
        <w:t xml:space="preserve">, if approved, authorized or ratified in writing by the Required Lenders. </w:t>
      </w:r>
    </w:p>
    <w:p>
      <w:pPr>
        <w:pStyle w:val="TextBody"/>
        <w:bidi w:val="0"/>
        <w:spacing w:before="240" w:after="0"/>
        <w:jc w:val="left"/>
        <w:rPr>
          <w:rFonts w:ascii="Times New Roman" w:hAnsi="Times New Roman"/>
          <w:sz w:val="20"/>
        </w:rPr>
      </w:pPr>
      <w:r>
        <w:rPr>
          <w:rFonts w:ascii="Times New Roman" w:hAnsi="Times New Roman"/>
          <w:sz w:val="20"/>
        </w:rPr>
        <w:t xml:space="preserve">Upon request by the Administrative Agent at any time, the Required Lenders will confirm in writing the Administrative Agent’s authority to release its interest in particular types or items of Collateral or other property pursuant to this Section. </w:t>
      </w:r>
    </w:p>
    <w:p>
      <w:pPr>
        <w:pStyle w:val="TextBody"/>
        <w:bidi w:val="0"/>
        <w:spacing w:before="120" w:after="0"/>
        <w:jc w:val="left"/>
        <w:rPr>
          <w:rFonts w:ascii="Times New Roman" w:hAnsi="Times New Roman"/>
          <w:sz w:val="20"/>
        </w:rPr>
      </w:pPr>
      <w:r>
        <w:rPr>
          <w:rFonts w:ascii="Times New Roman" w:hAnsi="Times New Roman"/>
          <w:sz w:val="20"/>
        </w:rPr>
        <w:t xml:space="preserve">(b)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Borrower-Related Party in connection therewith, nor shall the Administrative Agent be responsible or liable to the Lenders for any failure to monitor or maintain any portion of the Collateral. </w:t>
      </w:r>
    </w:p>
    <w:p>
      <w:pPr>
        <w:pStyle w:val="TextBody"/>
        <w:bidi w:val="0"/>
        <w:spacing w:before="240" w:after="0"/>
        <w:jc w:val="left"/>
        <w:rPr>
          <w:rFonts w:ascii="Times New Roman" w:hAnsi="Times New Roman"/>
          <w:sz w:val="20"/>
        </w:rPr>
      </w:pPr>
      <w:r>
        <w:rPr>
          <w:rFonts w:ascii="Times New Roman" w:hAnsi="Times New Roman"/>
          <w:sz w:val="20"/>
        </w:rPr>
        <w:t xml:space="preserve">SECTION 10.11 </w:t>
      </w:r>
      <w:r>
        <w:rPr>
          <w:rFonts w:ascii="Times New Roman" w:hAnsi="Times New Roman"/>
          <w:b/>
          <w:sz w:val="20"/>
          <w:u w:val="single"/>
        </w:rPr>
        <w:t>No Reliance on Administrative Agent’s Customer Identification Program</w:t>
      </w:r>
      <w:r>
        <w:rPr>
          <w:rFonts w:ascii="Times New Roman" w:hAnsi="Times New Roman"/>
          <w:sz w:val="20"/>
        </w:rPr>
        <w:t>. Each Credit Party acknowledges and agrees that neither such Credit Party, nor any of its Affiliates, participants or assignees, may rely on the Administrative Agent to carry out such Credit Party’s, Affiliate’s, participant’s or assignee’s customer identification program, or other obligations required or imposed under or pursuant to the USA PATRIOT Act or the regulations thereunder, including the regulations contained in 31 CFR 103.121 (as hereafter amended or replaced, the “</w:t>
      </w:r>
      <w:r>
        <w:rPr>
          <w:rFonts w:ascii="Times New Roman" w:hAnsi="Times New Roman"/>
          <w:sz w:val="20"/>
          <w:u w:val="single"/>
        </w:rPr>
        <w:t>CIP Regulations</w:t>
      </w:r>
      <w:r>
        <w:rPr>
          <w:rFonts w:ascii="Times New Roman" w:hAnsi="Times New Roman"/>
          <w:sz w:val="20"/>
        </w:rPr>
        <w:t xml:space="preserve">”), or any other Anti-Terrorism Law or any Anti-Corruption Law, including any programs involving any of the following items relating to or in connection with any of the Borrower-Related Parties, their Affiliates or their agents, the Transaction Documents or the transactions hereunder or contemplated hereby: (i) any identity verification procedures, (ii) any recordkeeping, (iii) comparisons with government lists, (iv) customer notices or (v) other procedures required under the CIP Regulations or such other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SECTION 10.12 </w:t>
      </w:r>
      <w:r>
        <w:rPr>
          <w:rFonts w:ascii="Times New Roman" w:hAnsi="Times New Roman"/>
          <w:b/>
          <w:sz w:val="20"/>
          <w:u w:val="single"/>
        </w:rPr>
        <w:t>ERISA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Credit Party (x) represents and warrants, as of the date such Person became a party hereto, to, and (y) covenants, from the date such Person became a party hereto to the date such Person ceases being a party hereto, for the benefit of, Administrative Agent and its Affiliates, and not, for the avoidance of doubt, for the benefit of any Borrower-Related Party, that at least one of the following is and will be true: </w:t>
      </w:r>
    </w:p>
    <w:p>
      <w:pPr>
        <w:pStyle w:val="TextBody"/>
        <w:bidi w:val="0"/>
        <w:spacing w:before="120" w:after="0"/>
        <w:jc w:val="left"/>
        <w:rPr>
          <w:rFonts w:ascii="Times New Roman" w:hAnsi="Times New Roman"/>
          <w:sz w:val="20"/>
        </w:rPr>
      </w:pPr>
      <w:r>
        <w:rPr>
          <w:rFonts w:ascii="Times New Roman" w:hAnsi="Times New Roman"/>
          <w:sz w:val="20"/>
        </w:rPr>
        <w:t xml:space="preserve">(i) such Credit Party is not using “plan assets” (within the meaning of 29 CFR § 2510.3-101, as modified by Section 3(42) of ERISA) of one or more Plans with respect to such Credit Party’s entrance into, participation in, administration of and performance of the Loans, the Commitments or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transaction exemption set forth in one or more Prohibited Transaction Exemptions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(iii) (A) such Credit Party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 </w:t>
      </w:r>
    </w:p>
    <w:p>
      <w:pPr>
        <w:pStyle w:val="TextBody"/>
        <w:bidi w:val="0"/>
        <w:spacing w:before="120" w:after="0"/>
        <w:jc w:val="left"/>
        <w:rPr>
          <w:rFonts w:ascii="Times New Roman" w:hAnsi="Times New Roman"/>
          <w:sz w:val="20"/>
        </w:rPr>
      </w:pPr>
      <w:r>
        <w:rPr>
          <w:rFonts w:ascii="Times New Roman" w:hAnsi="Times New Roman"/>
          <w:sz w:val="20"/>
        </w:rPr>
        <w:t xml:space="preserve">(iv) such other representation, warranty and covenant as may be agreed in writing between the Administrative Agent, in its sole discretion, and such Credit Party. </w:t>
      </w:r>
    </w:p>
    <w:p>
      <w:pPr>
        <w:pStyle w:val="TextBody"/>
        <w:bidi w:val="0"/>
        <w:spacing w:before="120" w:after="0"/>
        <w:jc w:val="left"/>
        <w:rPr>
          <w:rFonts w:ascii="Times New Roman" w:hAnsi="Times New Roman"/>
          <w:sz w:val="20"/>
        </w:rPr>
      </w:pPr>
      <w:r>
        <w:rPr>
          <w:rFonts w:ascii="Times New Roman" w:hAnsi="Times New Roman"/>
          <w:sz w:val="20"/>
        </w:rPr>
        <w:t xml:space="preserve">(b) In addition, unless </w:t>
      </w:r>
      <w:r>
        <w:rPr>
          <w:rFonts w:ascii="Times New Roman" w:hAnsi="Times New Roman"/>
          <w:sz w:val="20"/>
          <w:u w:val="single"/>
        </w:rPr>
        <w:t>sub-clause (i)</w:t>
      </w:r>
      <w:r>
        <w:rPr>
          <w:rFonts w:ascii="Times New Roman" w:hAnsi="Times New Roman"/>
          <w:sz w:val="20"/>
        </w:rPr>
        <w:t xml:space="preserve"> in the immediately preceding </w:t>
      </w:r>
      <w:r>
        <w:rPr>
          <w:rFonts w:ascii="Times New Roman" w:hAnsi="Times New Roman"/>
          <w:sz w:val="20"/>
          <w:u w:val="single"/>
        </w:rPr>
        <w:t>Section 10.12(a)</w:t>
      </w:r>
      <w:r>
        <w:rPr>
          <w:rFonts w:ascii="Times New Roman" w:hAnsi="Times New Roman"/>
          <w:sz w:val="20"/>
        </w:rPr>
        <w:t xml:space="preserve"> is true with respect to a Credit Party or such Credit Party has not provided another representation, warranty and covenant as provided in sub-clause (iv) in the immediately preceding </w:t>
      </w:r>
      <w:r>
        <w:rPr>
          <w:rFonts w:ascii="Times New Roman" w:hAnsi="Times New Roman"/>
          <w:sz w:val="20"/>
          <w:u w:val="single"/>
        </w:rPr>
        <w:t>Section 10.12(a)</w:t>
      </w:r>
      <w:r>
        <w:rPr>
          <w:rFonts w:ascii="Times New Roman" w:hAnsi="Times New Roman"/>
          <w:sz w:val="20"/>
        </w:rPr>
        <w:t xml:space="preserve">, such Credit Party further (x) represents and warrants, as of the date such Person became a party hereto, and (y) covenants, from the date such Person became a party hereto to the date such Person ceases being a party hereto, for the benefit of, the Administrative Agent and its Affiliates, and not, for the avoidance of doubt, to or for the benefit of any Borrower-Related Party, that: </w:t>
      </w:r>
    </w:p>
    <w:p>
      <w:pPr>
        <w:pStyle w:val="TextBody"/>
        <w:bidi w:val="0"/>
        <w:spacing w:before="120" w:after="0"/>
        <w:jc w:val="left"/>
        <w:rPr>
          <w:rFonts w:ascii="Times New Roman" w:hAnsi="Times New Roman"/>
          <w:sz w:val="20"/>
        </w:rPr>
      </w:pPr>
      <w:r>
        <w:rPr>
          <w:rFonts w:ascii="Times New Roman" w:hAnsi="Times New Roman"/>
          <w:sz w:val="20"/>
        </w:rPr>
        <w:t xml:space="preserve">(i) none of the Administrative Agent, the Structuring Agent or any of their respective Affiliates is a fiduciary with respect to the assets of such Credit Party (including in connection with the reservation or exercise of any rights by Administrative Agent under this Agreement, any Transaction Document or any other documents related to hereto or thereto); </w:t>
      </w:r>
    </w:p>
    <w:p>
      <w:pPr>
        <w:pStyle w:val="TextBody"/>
        <w:bidi w:val="0"/>
        <w:spacing w:before="120" w:after="0"/>
        <w:jc w:val="left"/>
        <w:rPr>
          <w:rFonts w:ascii="Times New Roman" w:hAnsi="Times New Roman"/>
          <w:sz w:val="20"/>
        </w:rPr>
      </w:pPr>
      <w:r>
        <w:rPr>
          <w:rFonts w:ascii="Times New Roman" w:hAnsi="Times New Roman"/>
          <w:sz w:val="20"/>
        </w:rPr>
        <w:t xml:space="preserve">(ii) the Person making the investment decision on behalf of such Credit Party with respect to the entrance into, participation in, administration of and performance of the Loans, the Commitments and this Agreement is capable of evaluating investment risks independently, both in general and with regard to particular transactions and investment strategies (including in respect of the Loans);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Person making the investment decision on behalf of such Credit Party with respect to the entrance into, participation in, administration of and performance of the Loans, the Commitments and this Agreement is a fiduciary under ERISA or the Code, or both, with respect to the Loans, the Commitments and this Agreement and is responsible for exercising independent judgment in evaluating the transactions hereunder; and </w:t>
      </w:r>
    </w:p>
    <w:p>
      <w:pPr>
        <w:pStyle w:val="TextBody"/>
        <w:bidi w:val="0"/>
        <w:spacing w:before="120" w:after="0"/>
        <w:jc w:val="left"/>
        <w:rPr>
          <w:rFonts w:ascii="Times New Roman" w:hAnsi="Times New Roman"/>
          <w:sz w:val="20"/>
        </w:rPr>
      </w:pPr>
      <w:r>
        <w:rPr>
          <w:rFonts w:ascii="Times New Roman" w:hAnsi="Times New Roman"/>
          <w:sz w:val="20"/>
        </w:rPr>
        <w:t xml:space="preserve">(iv) no fee or other compensation is being paid directly to the Administrative Agent, the Structuring Agent or any of their respective Affiliates for investment advice (as opposed to other services) in connection with the Loans, the Commitments or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and the Structuring Agent hereby inform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Commitments and this Agreement, (ii) may recognize a gain if it extended the Loans, or the Commitments for an amount less than the amount being paid for an interest in the Loans or the Commitments by such Lender or (iii) may receive fees or other payments in connection with the transactions contemplated hereby, the Transaction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 </w:t>
      </w:r>
    </w:p>
    <w:p>
      <w:pPr>
        <w:pStyle w:val="TextBody"/>
        <w:bidi w:val="0"/>
        <w:spacing w:before="240" w:after="0"/>
        <w:jc w:val="left"/>
        <w:rPr>
          <w:rFonts w:ascii="Times New Roman" w:hAnsi="Times New Roman"/>
          <w:sz w:val="20"/>
        </w:rPr>
      </w:pPr>
      <w:r>
        <w:rPr>
          <w:rFonts w:ascii="Times New Roman" w:hAnsi="Times New Roman"/>
          <w:sz w:val="20"/>
        </w:rPr>
        <w:t xml:space="preserve">SECTION 10.13 </w:t>
      </w:r>
      <w:r>
        <w:rPr>
          <w:rFonts w:ascii="Times New Roman" w:hAnsi="Times New Roman"/>
          <w:b/>
          <w:sz w:val="20"/>
          <w:u w:val="single"/>
        </w:rPr>
        <w:t>Erroneous 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If the Administrative Agent notifies a Credit Party or other Secured Party, or any Person who has received funds on behalf of a Credit Party or other Secured Party (any Credit Party, Secured Party or other recipient, a “</w:t>
      </w:r>
      <w:r>
        <w:rPr>
          <w:rFonts w:ascii="Times New Roman" w:hAnsi="Times New Roman"/>
          <w:sz w:val="20"/>
          <w:u w:val="single"/>
        </w:rPr>
        <w:t>Payment Recipient</w:t>
      </w:r>
      <w:r>
        <w:rPr>
          <w:rFonts w:ascii="Times New Roman" w:hAnsi="Times New Roman"/>
          <w:sz w:val="20"/>
        </w:rPr>
        <w:t xml:space="preserve">”) that the Administrative Agent has determined in its sole discretion (whether or not after receipt of any notice under immediately succeeding </w:t>
      </w:r>
      <w:r>
        <w:rPr>
          <w:rFonts w:ascii="Times New Roman" w:hAnsi="Times New Roman"/>
          <w:sz w:val="20"/>
          <w:u w:val="single"/>
        </w:rPr>
        <w:t>clause (b)</w:t>
      </w:r>
      <w:r>
        <w:rPr>
          <w:rFonts w:ascii="Times New Roman" w:hAnsi="Times New Roman"/>
          <w:sz w:val="20"/>
        </w:rPr>
        <w:t>) that any funds received by such Payment Recipient from the Administrative Agent or any of its Affiliates were erroneously transmitted to, or otherwise erroneously or mistakenly received by, such Payment Recipient (whether or not known to such Credit Party, other Secured Party or other Payment Recipient on its behalf) (any such funds, whether received as a payment, prepayment or repayment of principal, interest, fees, distribution or otherwise, individually and collectively, an “</w:t>
      </w:r>
      <w:r>
        <w:rPr>
          <w:rFonts w:ascii="Times New Roman" w:hAnsi="Times New Roman"/>
          <w:sz w:val="20"/>
          <w:u w:val="single"/>
        </w:rPr>
        <w:t>Erroneous Payment</w:t>
      </w:r>
      <w:r>
        <w:rPr>
          <w:rFonts w:ascii="Times New Roman" w:hAnsi="Times New Roman"/>
          <w:sz w:val="20"/>
        </w:rPr>
        <w:t xml:space="preserve">”)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Credit Party or other Secured Party shall (or, with respect to any Payment Recipient who received such funds on its behalf, shall cause such Payment Recipient to) promptly, but in no event later than two Business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Overnight Bank Funding Rate and a rate determined by the Administrative Agent in accordance with banking industry rules on interbank compensation from time to time in effect. A notice of the Administrative Agent to any Payment Recipient under this </w:t>
      </w:r>
      <w:r>
        <w:rPr>
          <w:rFonts w:ascii="Times New Roman" w:hAnsi="Times New Roman"/>
          <w:sz w:val="20"/>
          <w:u w:val="single"/>
        </w:rPr>
        <w:t>clause (a)</w:t>
      </w:r>
      <w:r>
        <w:rPr>
          <w:rFonts w:ascii="Times New Roman" w:hAnsi="Times New Roman"/>
          <w:sz w:val="20"/>
        </w:rPr>
        <w:t xml:space="preserve"> shall be conclusive, absent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(b) Without limiting immediately preceding </w:t>
      </w:r>
      <w:r>
        <w:rPr>
          <w:rFonts w:ascii="Times New Roman" w:hAnsi="Times New Roman"/>
          <w:sz w:val="20"/>
          <w:u w:val="single"/>
        </w:rPr>
        <w:t>clause (a)</w:t>
      </w:r>
      <w:r>
        <w:rPr>
          <w:rFonts w:ascii="Times New Roman" w:hAnsi="Times New Roman"/>
          <w:sz w:val="20"/>
        </w:rPr>
        <w:t xml:space="preserve">, each Credit Party or other Secured Party, or any Person who has received funds on behalf of a Credit Party or other Secured Party,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Credit Party or other Secured Party, or other such recipient, otherwise becomes aware was transmitted, or received, in error or by mistake (in whole or in part) in each case: </w:t>
      </w:r>
    </w:p>
    <w:p>
      <w:pPr>
        <w:pStyle w:val="TextBody"/>
        <w:bidi w:val="0"/>
        <w:spacing w:before="120" w:after="0"/>
        <w:jc w:val="left"/>
        <w:rPr>
          <w:rFonts w:ascii="Times New Roman" w:hAnsi="Times New Roman"/>
          <w:sz w:val="20"/>
        </w:rPr>
      </w:pPr>
      <w:r>
        <w:rPr>
          <w:rFonts w:ascii="Times New Roman" w:hAnsi="Times New Roman"/>
          <w:sz w:val="20"/>
        </w:rPr>
        <w:t xml:space="preserve">(i) (A) in the case of immediately preceding </w:t>
      </w:r>
      <w:r>
        <w:rPr>
          <w:rFonts w:ascii="Times New Roman" w:hAnsi="Times New Roman"/>
          <w:sz w:val="20"/>
          <w:u w:val="single"/>
        </w:rPr>
        <w:t>clauses (x) </w:t>
      </w:r>
      <w:r>
        <w:rPr>
          <w:rFonts w:ascii="Times New Roman" w:hAnsi="Times New Roman"/>
          <w:sz w:val="20"/>
        </w:rPr>
        <w:t xml:space="preserve">or </w:t>
      </w:r>
      <w:r>
        <w:rPr>
          <w:rFonts w:ascii="Times New Roman" w:hAnsi="Times New Roman"/>
          <w:sz w:val="20"/>
          <w:u w:val="single"/>
        </w:rPr>
        <w:t>(y)</w:t>
      </w:r>
      <w:r>
        <w:rPr>
          <w:rFonts w:ascii="Times New Roman" w:hAnsi="Times New Roman"/>
          <w:sz w:val="20"/>
        </w:rPr>
        <w:t xml:space="preserve">, an error shall be presumed to have been made (absent written confirmation from the Administrative Agent to the contrary) or (B) an error has been made (in the case of immediately preceding </w:t>
      </w:r>
      <w:r>
        <w:rPr>
          <w:rFonts w:ascii="Times New Roman" w:hAnsi="Times New Roman"/>
          <w:sz w:val="20"/>
          <w:u w:val="single"/>
        </w:rPr>
        <w:t>clause (z)</w:t>
      </w:r>
      <w:r>
        <w:rPr>
          <w:rFonts w:ascii="Times New Roman" w:hAnsi="Times New Roman"/>
          <w:sz w:val="20"/>
        </w:rPr>
        <w:t xml:space="preserve">), in each case, with respect to such payment, prepayment or repayment; and </w:t>
      </w:r>
    </w:p>
    <w:p>
      <w:pPr>
        <w:pStyle w:val="TextBody"/>
        <w:bidi w:val="0"/>
        <w:spacing w:before="120" w:after="0"/>
        <w:jc w:val="left"/>
        <w:rPr>
          <w:rFonts w:ascii="Times New Roman" w:hAnsi="Times New Roman"/>
          <w:sz w:val="20"/>
        </w:rPr>
      </w:pPr>
      <w:r>
        <w:rPr>
          <w:rFonts w:ascii="Times New Roman" w:hAnsi="Times New Roman"/>
          <w:sz w:val="20"/>
        </w:rPr>
        <w:t xml:space="preserve">(ii) such Credit Party or other Secured Party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 w:hAnsi="Times New Roman"/>
          <w:sz w:val="20"/>
          <w:u w:val="single"/>
        </w:rPr>
        <w:t>Section 10.12(b)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Each Credit Party or other Secured Party hereby authorizes the Administrative Agent to set off, net and apply any and all amounts at any time owing to such Credit Party or other Secured Party under any Transaction Document, or otherwise payable or distributable by the Administrative Agent to such Credit Party or other Secured Party from any source, against any amount due to the Administrative Agent under immediately preceding </w:t>
      </w:r>
      <w:r>
        <w:rPr>
          <w:rFonts w:ascii="Times New Roman" w:hAnsi="Times New Roman"/>
          <w:sz w:val="20"/>
          <w:u w:val="single"/>
        </w:rPr>
        <w:t>clause (a)</w:t>
      </w:r>
      <w:r>
        <w:rPr>
          <w:rFonts w:ascii="Times New Roman" w:hAnsi="Times New Roman"/>
          <w:sz w:val="20"/>
        </w:rPr>
        <w:t xml:space="preserve"> or under the indemnification provisions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In the event that an Erroneous Payment (or portion thereof) is not recovered by the Administrative Agent for any reason, after demand therefor by the Administrative Agent in accordance with immediately preceding </w:t>
      </w:r>
      <w:r>
        <w:rPr>
          <w:rFonts w:ascii="Times New Roman" w:hAnsi="Times New Roman"/>
          <w:sz w:val="20"/>
          <w:u w:val="single"/>
        </w:rPr>
        <w:t>clause (a)</w:t>
      </w:r>
      <w:r>
        <w:rPr>
          <w:rFonts w:ascii="Times New Roman" w:hAnsi="Times New Roman"/>
          <w:sz w:val="20"/>
        </w:rPr>
        <w:t>, from any Credit Party that has received such Erroneous Payment (or portion thereof) (and/or from any Payment Recipient who received such Erroneous Payment (or portion thereof) on its respective behalf) (such unrecovered amount, an “</w:t>
      </w:r>
      <w:r>
        <w:rPr>
          <w:rFonts w:ascii="Times New Roman" w:hAnsi="Times New Roman"/>
          <w:sz w:val="20"/>
          <w:u w:val="single"/>
        </w:rPr>
        <w:t>Erroneous Payment Return Deficiency</w:t>
      </w:r>
      <w:r>
        <w:rPr>
          <w:rFonts w:ascii="Times New Roman" w:hAnsi="Times New Roman"/>
          <w:sz w:val="20"/>
        </w:rPr>
        <w:t xml:space="preserve">”), upon the Administrative Agent’s notice to such Credit Party at any time, (i) such Credit Party shall be deemed to have assigned its Loans (but not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Commitments) in an amount equal to the Erroneous Payment Return Deficiency (or such lesser amount as the Administrative Agent may specify) (such assignment of the Loans (but not Commitments), the “</w:t>
      </w:r>
      <w:r>
        <w:rPr>
          <w:rFonts w:ascii="Times New Roman" w:hAnsi="Times New Roman"/>
          <w:sz w:val="20"/>
          <w:u w:val="single"/>
        </w:rPr>
        <w:t>Erroneous Payment Deficiency Assignment</w:t>
      </w:r>
      <w:r>
        <w:rPr>
          <w:rFonts w:ascii="Times New Roman" w:hAnsi="Times New Roman"/>
          <w:sz w:val="20"/>
        </w:rPr>
        <w:t>”) at par plus any accrued and unpaid interest (with the assignment fee to be waived by the Administrative Agent in such instance), and is hereby (together with the Borrower) deemed to execute and deliver an Assignment and Assumption with respect to such Erroneous Payment Deficiency Assignment, (ii) the Administrative Agent as the assignee Lender shall be deemed to acquire the Erroneous Payment Deficiency Assignment, (iii) upon such deemed acquisition, the Administrative Agent as the assignee Lender 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applicable Commitments which shall survive as to such assigning Lender and (iv)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Credit Party shall be reduced by the net proceeds of the sale of such Loan (or portion thereof), and the Administrative Agent shall retain all other rights, remedies and claims against such Credit Party (and/or against any recipient that receives funds on its respective behalf). For the avoidance of doubt, no Erroneous Payment Deficiency Assignment will reduce the Commitments of any Credit Party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Credit Party or other Secured Party under the Transaction Documents with respect to each Erroneous Payment Return Deficiency (the “</w:t>
      </w:r>
      <w:r>
        <w:rPr>
          <w:rFonts w:ascii="Times New Roman" w:hAnsi="Times New Roman"/>
          <w:sz w:val="20"/>
          <w:u w:val="single"/>
        </w:rPr>
        <w:t>Erroneous Payment Subrogation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The parties hereto agree that an Erroneous Payment shall not pay, prepay, repay, discharge or otherwise satisfy any Borrower Obligations or any other obligations owed by any Borrower-Related Party, except, in each case, to the extent such Erroneous Payment is, and solely with respect to the amount of such Erroneous Payment that is, comprised of funds received by the Administrative Agent from any Borrower-Related Party for the purpose of making such Erroneous Payment. </w:t>
      </w:r>
    </w:p>
    <w:p>
      <w:pPr>
        <w:pStyle w:val="TextBody"/>
        <w:bidi w:val="0"/>
        <w:spacing w:before="120" w:after="0"/>
        <w:jc w:val="left"/>
        <w:rPr>
          <w:rFonts w:ascii="Times New Roman" w:hAnsi="Times New Roman"/>
          <w:sz w:val="20"/>
        </w:rPr>
      </w:pPr>
      <w:r>
        <w:rPr>
          <w:rFonts w:ascii="Times New Roman" w:hAnsi="Times New Roman"/>
          <w:sz w:val="20"/>
        </w:rPr>
        <w:t xml:space="preserve">(f)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 </w:t>
      </w:r>
    </w:p>
    <w:p>
      <w:pPr>
        <w:pStyle w:val="TextBody"/>
        <w:bidi w:val="0"/>
        <w:spacing w:before="120" w:after="0"/>
        <w:jc w:val="left"/>
        <w:rPr>
          <w:rFonts w:ascii="Times New Roman" w:hAnsi="Times New Roman"/>
          <w:sz w:val="20"/>
        </w:rPr>
      </w:pPr>
      <w:r>
        <w:rPr>
          <w:rFonts w:ascii="Times New Roman" w:hAnsi="Times New Roman"/>
          <w:sz w:val="20"/>
        </w:rPr>
        <w:t xml:space="preserve">(g) Each party’s obligations, agreements and waivers under this </w:t>
      </w:r>
      <w:r>
        <w:rPr>
          <w:rFonts w:ascii="Times New Roman" w:hAnsi="Times New Roman"/>
          <w:sz w:val="20"/>
          <w:u w:val="single"/>
        </w:rPr>
        <w:t>Section 10.13</w:t>
      </w:r>
      <w:r>
        <w:rPr>
          <w:rFonts w:ascii="Times New Roman" w:hAnsi="Times New Roman"/>
          <w:sz w:val="20"/>
        </w:rPr>
        <w:t xml:space="preserve"> shall survive the resignation or replacement of the Administrative Agent, the termination of the Commitments and/or the repayment, satisfaction or discharge of all Borrower Obligations (or any portion thereof) under any Transaction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10.14 </w:t>
      </w:r>
      <w:r>
        <w:rPr>
          <w:rFonts w:ascii="Times New Roman" w:hAnsi="Times New Roman"/>
          <w:b/>
          <w:sz w:val="20"/>
          <w:u w:val="single"/>
        </w:rPr>
        <w:t>UK Security Agreement</w:t>
      </w:r>
      <w:r>
        <w:rPr>
          <w:rFonts w:ascii="Times New Roman" w:hAnsi="Times New Roman"/>
          <w:sz w:val="20"/>
        </w:rPr>
        <w:t xml:space="preserve">. Notwithstanding any other provision of this Agreement, each Secured Party irrevocably appoints the Administrative Agent to act as its trustee under and in connection with the UK Security Agreement on the terms and conditions set out in the UK Security Agreement to hold the assets subject to the security thereby created as trustee for the Secured Parties on the trusts and other terms contained in the UK Security Agreement. Each of the Secured Parties authorizes the Administrative Agent to exercise the rights, remedies, power and discretions, specifically given to the Administrative Agent under or in respect of the UK Security Agreement, together with any rights, remedies, power and discretions, incidental thereto. In addition, when acting in the capacity of trustee for the Secured Parties, the Administrative Agent shall have all the rights, remedies and benefits of and in favor of the Administrative Agent contained in this </w:t>
      </w:r>
      <w:r>
        <w:rPr>
          <w:rFonts w:ascii="Times New Roman" w:hAnsi="Times New Roman"/>
          <w:sz w:val="20"/>
          <w:u w:val="single"/>
        </w:rPr>
        <w:t>Article 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 xml:space="preserve">SECTION  10.15 </w:t>
      </w:r>
      <w:r>
        <w:rPr>
          <w:rFonts w:ascii="Times New Roman" w:hAnsi="Times New Roman"/>
          <w:b/>
          <w:color w:val="0000FF"/>
          <w:sz w:val="20"/>
          <w:u w:val="single"/>
          <w:bdr w:val="double" w:sz="2" w:space="1" w:color="000000"/>
        </w:rPr>
        <w:t>SG Security Agreement</w:t>
      </w:r>
      <w:r>
        <w:rPr>
          <w:rFonts w:ascii="Times New Roman" w:hAnsi="Times New Roman"/>
          <w:color w:val="0000FF"/>
          <w:sz w:val="20"/>
          <w:u w:val="single"/>
          <w:bdr w:val="double" w:sz="2" w:space="1" w:color="000000"/>
        </w:rPr>
        <w:t>. Notwithstanding any other provision of this Agreement, each Secured Party irrevocably appoints the Administrative Agent to act as its trustee under and in connection with the SG Security Agreement on the terms and conditions set out in the SG Security Agreement to hold the assets subject to the security thereby created as trustee for the Secured Parties on the trusts and other terms contained in the SG Security Agreement. Each of the Secured Parties authorizes the Administrative Agent to exercise the rights, remedies, power and discretions, specifically given to the Administrative Agent under or in respect of the SG Security Agreement, together with any rights, remedies, power and discretions, incidental thereto. In addition, when acting in the capacity of trustee for the Secured Parties, the Administrative Agent shall have all the rights, remedies and benefits of and in favor of the Administrative Agent contained in this Article X.</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240" w:after="0"/>
        <w:jc w:val="center"/>
        <w:rPr>
          <w:rFonts w:ascii="Times New Roman" w:hAnsi="Times New Roman"/>
          <w:b/>
          <w:sz w:val="20"/>
        </w:rPr>
      </w:pPr>
      <w:r>
        <w:rPr>
          <w:rFonts w:ascii="Times New Roman" w:hAnsi="Times New Roman"/>
          <w:b/>
          <w:sz w:val="20"/>
        </w:rPr>
        <w:t xml:space="preserve">EXPENSES; INDEMNITY; DAMAGE WAIVER </w:t>
      </w:r>
    </w:p>
    <w:p>
      <w:pPr>
        <w:pStyle w:val="TextBody"/>
        <w:bidi w:val="0"/>
        <w:spacing w:before="240" w:after="0"/>
        <w:jc w:val="left"/>
        <w:rPr>
          <w:rFonts w:ascii="Times New Roman" w:hAnsi="Times New Roman"/>
          <w:sz w:val="20"/>
        </w:rPr>
      </w:pPr>
      <w:r>
        <w:rPr>
          <w:rFonts w:ascii="Times New Roman" w:hAnsi="Times New Roman"/>
          <w:sz w:val="20"/>
        </w:rPr>
        <w:t xml:space="preserve">SECTION 11.01 </w:t>
      </w:r>
      <w:r>
        <w:rPr>
          <w:rFonts w:ascii="Times New Roman" w:hAnsi="Times New Roman"/>
          <w:b/>
          <w:sz w:val="20"/>
          <w:u w:val="single"/>
        </w:rPr>
        <w:t>Costs and Expenses</w:t>
      </w:r>
      <w:r>
        <w:rPr>
          <w:rFonts w:ascii="Times New Roman" w:hAnsi="Times New Roman"/>
          <w:sz w:val="20"/>
        </w:rPr>
        <w:t xml:space="preserve">. The Borrower shall pay (i) all out-of-pocket expenses incurred by the Administrative Agent and its Affiliates (including the reasonable fees, charges and disbursements of counsel for the Administrative Agent), and shall pay all fees and time charges and disbursements for attorneys who may be employees of the Administrative Agent, in connection with the syndication of the facilities provided for herein, the preparation, negotiation, execution, delivery and administration of this Agreement and the other Transaction Documents or any amendments, modifications or waivers of the provisions hereof or thereof (whether or not the transactions contemplated hereby or thereby shall be consummated), (ii) all out-of-pocket expenses incurred by the Administrative Agent or any Lender (including the fees, charges and disbursements of any counsel for the Administrative Agent or any Lender), and shall pay all fees and time charges for attorneys who may be employees of the Administrative Agent or any Lender, in connection with the enforcement or protection of its rights (A) in connection with this Agreement and the other Transaction Documents, including its rights under this Section, or (B) in connection with the Credit Extensions made hereunder, including all such out-of-pocket expenses incurred during any workout, restructuring or negotiations in respect of any Credit Extension, and (iii) all reasonable out-of-pocket expenses of the Administrative Agent’s regular employees and agents engaged periodically to perform audits of the Borrower-Related Parties’ books, records and business properties.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11.02 </w:t>
      </w:r>
      <w:r>
        <w:rPr>
          <w:rFonts w:ascii="Times New Roman" w:hAnsi="Times New Roman"/>
          <w:b/>
          <w:sz w:val="20"/>
          <w:u w:val="single"/>
        </w:rPr>
        <w:t>Indemnification by the Borrower</w:t>
      </w:r>
      <w:r>
        <w:rPr>
          <w:rFonts w:ascii="Times New Roman" w:hAnsi="Times New Roman"/>
          <w:sz w:val="20"/>
        </w:rPr>
        <w:t>. Without limiting any other rights that the Administrative Agent, the Credit Parties, the other Secured Parties and their respective assigns, officers, directors, agents and employees (each, a “</w:t>
      </w:r>
      <w:r>
        <w:rPr>
          <w:rFonts w:ascii="Times New Roman" w:hAnsi="Times New Roman"/>
          <w:sz w:val="20"/>
          <w:u w:val="single"/>
        </w:rPr>
        <w:t>Borrower Indemnified Party</w:t>
      </w:r>
      <w:r>
        <w:rPr>
          <w:rFonts w:ascii="Times New Roman" w:hAnsi="Times New Roman"/>
          <w:sz w:val="20"/>
        </w:rPr>
        <w:t>”) may have hereunder or under applicable Law, the Borrower hereby agrees to indemnify each Borrower Indemnified Party from and against any and all claims, losses and liabilities (including Attorney Costs) (all of the foregoing being collectively referred to as “</w:t>
      </w:r>
      <w:r>
        <w:rPr>
          <w:rFonts w:ascii="Times New Roman" w:hAnsi="Times New Roman"/>
          <w:sz w:val="20"/>
          <w:u w:val="single"/>
        </w:rPr>
        <w:t>Borrower Indemnified Amounts</w:t>
      </w:r>
      <w:r>
        <w:rPr>
          <w:rFonts w:ascii="Times New Roman" w:hAnsi="Times New Roman"/>
          <w:sz w:val="20"/>
        </w:rPr>
        <w:t xml:space="preserve">”) arising out of or resulting from this Agreement or any other Transaction Document or the use of proceeds of the Credit Extensions or the security interest in respect of any Pool Receivable or any other Collateral; </w:t>
      </w:r>
      <w:r>
        <w:rPr>
          <w:rFonts w:ascii="Times New Roman" w:hAnsi="Times New Roman"/>
          <w:sz w:val="20"/>
          <w:u w:val="single"/>
        </w:rPr>
        <w:t>excluding</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(a) Borrower Indemnified Amounts to the extent a final non-appealable judgment of a court of competent jurisdiction holds that such Borrower Indemnified Amounts resulted solely from the gross negligence or willful misconduct by the Borrower Indemnified Party seeking indemnification and (b) Taxes (other than any Taxes that represent losses, claims, damages, etc. arising from any non-Tax claim). Without limiting or being limited by the foregoing, the Borrower shall pay on demand (it being understood that if any portion of such payment obligation is made from Collections, such payment will be made at the time and in the order of priority set forth in </w:t>
      </w:r>
      <w:r>
        <w:rPr>
          <w:rFonts w:ascii="Times New Roman" w:hAnsi="Times New Roman"/>
          <w:sz w:val="20"/>
          <w:u w:val="single"/>
        </w:rPr>
        <w:t>Section 3.01(a)</w:t>
      </w:r>
      <w:r>
        <w:rPr>
          <w:rFonts w:ascii="Times New Roman" w:hAnsi="Times New Roman"/>
          <w:sz w:val="20"/>
        </w:rPr>
        <w:t xml:space="preserve">), to each Borrower Indemnified Party any and all amounts necessary to indemnify such Borrower Indemnified Party from and against any and all Borrower Indemnified Amounts relating to or resulting from any of the following (but excluding Borrower Indemnified Amounts and Taxes described in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above): </w:t>
      </w:r>
    </w:p>
    <w:p>
      <w:pPr>
        <w:pStyle w:val="TextBody"/>
        <w:bidi w:val="0"/>
        <w:spacing w:before="120" w:after="0"/>
        <w:jc w:val="left"/>
        <w:rPr>
          <w:rFonts w:ascii="Times New Roman" w:hAnsi="Times New Roman"/>
          <w:sz w:val="20"/>
        </w:rPr>
      </w:pPr>
      <w:r>
        <w:rPr>
          <w:rFonts w:ascii="Times New Roman" w:hAnsi="Times New Roman"/>
          <w:sz w:val="20"/>
        </w:rPr>
        <w:t xml:space="preserve">(i) any Pool Receivable which the Borrower or the Servicers includes as an Eligible Receivable as part of the Net Receivables Pool Balance but which is not an Eligible Receivable at such time; </w:t>
      </w:r>
    </w:p>
    <w:p>
      <w:pPr>
        <w:pStyle w:val="TextBody"/>
        <w:bidi w:val="0"/>
        <w:spacing w:before="120" w:after="0"/>
        <w:jc w:val="left"/>
        <w:rPr>
          <w:rFonts w:ascii="Times New Roman" w:hAnsi="Times New Roman"/>
          <w:sz w:val="20"/>
        </w:rPr>
      </w:pPr>
      <w:r>
        <w:rPr>
          <w:rFonts w:ascii="Times New Roman" w:hAnsi="Times New Roman"/>
          <w:sz w:val="20"/>
        </w:rPr>
        <w:t xml:space="preserve">(ii) any representation, warranty or statement made or deemed made by the Borrower (or any of its respective officers) under or in connection with this Agreement, any of the other Transaction Documents, any Pool Report or any other information or report delivered by or on behalf of the Borrower pursuant hereto which shall have been untrue or incorrect when made or deemed made; </w:t>
      </w:r>
    </w:p>
    <w:p>
      <w:pPr>
        <w:pStyle w:val="TextBody"/>
        <w:bidi w:val="0"/>
        <w:spacing w:before="120" w:after="0"/>
        <w:jc w:val="left"/>
        <w:rPr>
          <w:rFonts w:ascii="Times New Roman" w:hAnsi="Times New Roman"/>
          <w:sz w:val="20"/>
        </w:rPr>
      </w:pPr>
      <w:r>
        <w:rPr>
          <w:rFonts w:ascii="Times New Roman" w:hAnsi="Times New Roman"/>
          <w:sz w:val="20"/>
        </w:rPr>
        <w:t xml:space="preserve">(iii) the failure by the Borrower to comply with any applicable Law with respect to any Pool Receivable or the related Contract; or the failure of any Pool Receivable or the related Contract to conform to any such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(iv) the failure to vest in the Administrative Agent a first priority perfected security interest in all or any portion of the Collateral, in each case free and clear of any Adverse Claim; </w:t>
      </w:r>
    </w:p>
    <w:p>
      <w:pPr>
        <w:pStyle w:val="TextBody"/>
        <w:bidi w:val="0"/>
        <w:spacing w:before="120" w:after="0"/>
        <w:jc w:val="left"/>
        <w:rPr>
          <w:rFonts w:ascii="Times New Roman" w:hAnsi="Times New Roman"/>
          <w:sz w:val="20"/>
        </w:rPr>
      </w:pPr>
      <w:r>
        <w:rPr>
          <w:rFonts w:ascii="Times New Roman" w:hAnsi="Times New Roman"/>
          <w:sz w:val="20"/>
        </w:rPr>
        <w:t xml:space="preserve">(v) the failure to have filed, or any delay in filing, financing statements, financing statement amendments, continuation statements or other similar instruments or documents under the UCC of any applicable jurisdiction or other applicable Laws with respect to any Pool Receivable and the other Collateral and Collections in respect thereof, whether at the time of any Credit Extension or at any subsequent time; </w:t>
      </w:r>
    </w:p>
    <w:p>
      <w:pPr>
        <w:pStyle w:val="TextBody"/>
        <w:bidi w:val="0"/>
        <w:spacing w:before="120" w:after="0"/>
        <w:jc w:val="left"/>
        <w:rPr>
          <w:rFonts w:ascii="Times New Roman" w:hAnsi="Times New Roman"/>
          <w:sz w:val="20"/>
        </w:rPr>
      </w:pPr>
      <w:r>
        <w:rPr>
          <w:rFonts w:ascii="Times New Roman" w:hAnsi="Times New Roman"/>
          <w:sz w:val="20"/>
        </w:rPr>
        <w:t xml:space="preserve">(vi) any dispute, claim or defense (other than discharge in bankruptcy) of an Obligor to the payment of any Pool Receivable (including a defense based on such Pool Receivable or the related Contract not being a legal, valid and binding obligation of such Obligor enforceable against it in accordance with its terms), or any other claim resulting from or relating to collection activities with respect to such Pool Receivable;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any failure of the Borrower to perform any of its duties or obligations in accordance with the provisions hereof and of each other Transaction Document related to Pool Receivables or to timely and fully comply with the Credit and Collection Policy in regard to each Pool Receivable; </w:t>
      </w:r>
    </w:p>
    <w:p>
      <w:pPr>
        <w:pStyle w:val="TextBody"/>
        <w:bidi w:val="0"/>
        <w:spacing w:before="120" w:after="0"/>
        <w:jc w:val="left"/>
        <w:rPr>
          <w:rFonts w:ascii="Times New Roman" w:hAnsi="Times New Roman"/>
          <w:sz w:val="20"/>
        </w:rPr>
      </w:pPr>
      <w:r>
        <w:rPr>
          <w:rFonts w:ascii="Times New Roman" w:hAnsi="Times New Roman"/>
          <w:sz w:val="20"/>
        </w:rPr>
        <w:t xml:space="preserve">(viii) any products liability, environmental or other claim arising out of or in connection with any Pool Receivable or other merchandise, goods or services which are the subject of or related to any Pool Receivable; </w:t>
      </w:r>
    </w:p>
    <w:p>
      <w:pPr>
        <w:pStyle w:val="TextBody"/>
        <w:bidi w:val="0"/>
        <w:spacing w:before="120" w:after="0"/>
        <w:jc w:val="left"/>
        <w:rPr>
          <w:rFonts w:ascii="Times New Roman" w:hAnsi="Times New Roman"/>
          <w:sz w:val="20"/>
        </w:rPr>
      </w:pPr>
      <w:r>
        <w:rPr>
          <w:rFonts w:ascii="Times New Roman" w:hAnsi="Times New Roman"/>
          <w:sz w:val="20"/>
        </w:rPr>
        <w:t xml:space="preserve">(ix) the misdirection of Collections, the commingling of Collections of Pool Receivables at any time with other funds or any Borrower-Related Party or any Settlement Agent </w:t>
      </w:r>
      <w:r>
        <w:rPr>
          <w:rFonts w:ascii="Times New Roman" w:hAnsi="Times New Roman"/>
          <w:strike/>
          <w:color w:val="FF0000"/>
          <w:sz w:val="20"/>
        </w:rPr>
        <w:t xml:space="preserve">or any Settlement Agent </w:t>
      </w:r>
      <w:r>
        <w:rPr>
          <w:rFonts w:ascii="Times New Roman" w:hAnsi="Times New Roman"/>
          <w:sz w:val="20"/>
        </w:rPr>
        <w:t xml:space="preserve">nets or sets off any amount payable by American </w:t>
      </w:r>
      <w:r>
        <w:rPr>
          <w:rFonts w:ascii="Times New Roman" w:hAnsi="Times New Roman"/>
          <w:color w:val="0000FF"/>
          <w:sz w:val="20"/>
          <w:u w:val="single"/>
          <w:bdr w:val="double" w:sz="2" w:space="1" w:color="000000"/>
        </w:rPr>
        <w:t xml:space="preserve">Airlines, Inc. </w:t>
      </w:r>
      <w:r>
        <w:rPr>
          <w:rFonts w:ascii="Times New Roman" w:hAnsi="Times New Roman"/>
          <w:sz w:val="20"/>
        </w:rPr>
        <w:t xml:space="preserve">or any Affiliate of American </w:t>
      </w:r>
      <w:r>
        <w:rPr>
          <w:rFonts w:ascii="Times New Roman" w:hAnsi="Times New Roman"/>
          <w:color w:val="0000FF"/>
          <w:sz w:val="20"/>
          <w:u w:val="single"/>
          <w:bdr w:val="double" w:sz="2" w:space="1" w:color="000000"/>
        </w:rPr>
        <w:t xml:space="preserve">Airlines, Inc. </w:t>
      </w:r>
      <w:r>
        <w:rPr>
          <w:rFonts w:ascii="Times New Roman" w:hAnsi="Times New Roman"/>
          <w:sz w:val="20"/>
        </w:rPr>
        <w:t xml:space="preserve">against any Collections a Settlement Agent is required to remit to a Collection Account; </w:t>
      </w:r>
    </w:p>
    <w:p>
      <w:pPr>
        <w:pStyle w:val="TextBody"/>
        <w:bidi w:val="0"/>
        <w:spacing w:before="120" w:after="0"/>
        <w:jc w:val="left"/>
        <w:rPr>
          <w:rFonts w:ascii="Times New Roman" w:hAnsi="Times New Roman"/>
          <w:sz w:val="20"/>
        </w:rPr>
      </w:pPr>
      <w:r>
        <w:rPr>
          <w:rFonts w:ascii="Times New Roman" w:hAnsi="Times New Roman"/>
          <w:sz w:val="20"/>
        </w:rPr>
        <w:t xml:space="preserve">(x) any investigation, litigation or proceeding (actual or threatened) related to this Agreement or any other Transaction Document or the use of proceeds of any Credit Extensions or in respect of any Pool Receivable or other Collateral or any related Contract; </w:t>
      </w:r>
    </w:p>
    <w:p>
      <w:pPr>
        <w:pStyle w:val="TextBody"/>
        <w:bidi w:val="0"/>
        <w:spacing w:before="120" w:after="0"/>
        <w:jc w:val="left"/>
        <w:rPr>
          <w:rFonts w:ascii="Times New Roman" w:hAnsi="Times New Roman"/>
          <w:sz w:val="20"/>
        </w:rPr>
      </w:pPr>
      <w:r>
        <w:rPr>
          <w:rFonts w:ascii="Times New Roman" w:hAnsi="Times New Roman"/>
          <w:sz w:val="20"/>
        </w:rPr>
        <w:t xml:space="preserve">(xi) any failure of the Borrower to comply with its covenants, obligations and agreements contained in this Agreement or any other Transaction Document; </w:t>
      </w:r>
    </w:p>
    <w:p>
      <w:pPr>
        <w:pStyle w:val="TextBody"/>
        <w:bidi w:val="0"/>
        <w:spacing w:before="120" w:after="0"/>
        <w:jc w:val="left"/>
        <w:rPr>
          <w:rFonts w:ascii="Times New Roman" w:hAnsi="Times New Roman"/>
          <w:sz w:val="20"/>
        </w:rPr>
      </w:pPr>
      <w:r>
        <w:rPr>
          <w:rFonts w:ascii="Times New Roman" w:hAnsi="Times New Roman"/>
          <w:sz w:val="20"/>
        </w:rPr>
        <w:t xml:space="preserve">(xii) any setoff with respect to any Pool Receivable; </w:t>
      </w:r>
    </w:p>
    <w:p>
      <w:pPr>
        <w:pStyle w:val="TextBody"/>
        <w:bidi w:val="0"/>
        <w:spacing w:before="120" w:after="0"/>
        <w:jc w:val="left"/>
        <w:rPr>
          <w:rFonts w:ascii="Times New Roman" w:hAnsi="Times New Roman"/>
          <w:sz w:val="20"/>
        </w:rPr>
      </w:pPr>
      <w:r>
        <w:rPr>
          <w:rFonts w:ascii="Times New Roman" w:hAnsi="Times New Roman"/>
          <w:sz w:val="20"/>
        </w:rPr>
        <w:t xml:space="preserve">(xiii) any claim brought by any Person other than a Borrower Indemnified Party arising from any activity by the Borrower or any Affiliate of the Borrower in servicing, administering or collecting any Pool Receivable; </w:t>
      </w:r>
    </w:p>
    <w:p>
      <w:pPr>
        <w:pStyle w:val="TextBody"/>
        <w:bidi w:val="0"/>
        <w:spacing w:before="120" w:after="0"/>
        <w:jc w:val="left"/>
        <w:rPr>
          <w:rFonts w:ascii="Times New Roman" w:hAnsi="Times New Roman"/>
          <w:sz w:val="20"/>
        </w:rPr>
      </w:pPr>
      <w:r>
        <w:rPr>
          <w:rFonts w:ascii="Times New Roman" w:hAnsi="Times New Roman"/>
          <w:sz w:val="20"/>
        </w:rPr>
        <w:t xml:space="preserve">(xiv) any failure of a Collection Account Bank to comply with the terms of the applicable Account Control Agreement, the termination by a Collection Account Bank of any Account Control Agreement or any amounts (including in respect of an indemnity) payable by the Administrative Agent to a Collection Account Bank under any Account Control Agreement; </w:t>
      </w:r>
    </w:p>
    <w:p>
      <w:pPr>
        <w:pStyle w:val="TextBody"/>
        <w:bidi w:val="0"/>
        <w:spacing w:before="120" w:after="0"/>
        <w:jc w:val="left"/>
        <w:rPr>
          <w:rFonts w:ascii="Times New Roman" w:hAnsi="Times New Roman"/>
          <w:sz w:val="20"/>
        </w:rPr>
      </w:pPr>
      <w:r>
        <w:rPr>
          <w:rFonts w:ascii="Times New Roman" w:hAnsi="Times New Roman"/>
          <w:sz w:val="20"/>
        </w:rPr>
        <w:t xml:space="preserve">(xv) any dispute, claim, offset or defense (other than discharge in bankruptcy of the Obligor) of the Obligor to the payment of any Pool Receivable (including a defense based on such Pool Receivable or the related Contract not being a legal, valid and binding obligation of such Obligor enforceable against it in accordance with its terms), or any other claim resulting from the sale of goods or the rendering of services related to such Pool Receivable or the furnishing or failure to furnish any such goods or services or other similar claim or defense not arising from the financial inability of any Obligor to pay undisputed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(xvi) any action taken by the Administrative Agent as attorney-in-fact for any Borrower-Related Party pursuant to this Agreement or any other Transaction Document; </w:t>
      </w:r>
    </w:p>
    <w:p>
      <w:pPr>
        <w:pStyle w:val="TextBody"/>
        <w:bidi w:val="0"/>
        <w:spacing w:before="120" w:after="0"/>
        <w:jc w:val="left"/>
        <w:rPr>
          <w:rFonts w:ascii="Times New Roman" w:hAnsi="Times New Roman"/>
          <w:sz w:val="20"/>
        </w:rPr>
      </w:pPr>
      <w:r>
        <w:rPr>
          <w:rFonts w:ascii="Times New Roman" w:hAnsi="Times New Roman"/>
          <w:sz w:val="20"/>
        </w:rPr>
        <w:t xml:space="preserve">(xvii) the failure or delay to provide any Obligor with an invoice or other evidence of indebtedness; </w:t>
      </w:r>
    </w:p>
    <w:p>
      <w:pPr>
        <w:pStyle w:val="TextBody"/>
        <w:bidi w:val="0"/>
        <w:spacing w:before="120" w:after="0"/>
        <w:jc w:val="left"/>
        <w:rPr>
          <w:rFonts w:ascii="Times New Roman" w:hAnsi="Times New Roman"/>
          <w:sz w:val="20"/>
        </w:rPr>
      </w:pPr>
      <w:r>
        <w:rPr>
          <w:rFonts w:ascii="Times New Roman" w:hAnsi="Times New Roman"/>
          <w:sz w:val="20"/>
        </w:rPr>
        <w:t xml:space="preserve">(xviii) the maintenance of any Linked Account with respect to any Collection Account or the debiting against any Collection Account of amounts as a result of any “Settlement Item” (as defined in the related Account Control Agreement) that originated in any Linked Account or any other account other than a Collection Account; </w:t>
      </w:r>
    </w:p>
    <w:p>
      <w:pPr>
        <w:pStyle w:val="TextBody"/>
        <w:bidi w:val="0"/>
        <w:spacing w:before="120" w:after="0"/>
        <w:jc w:val="left"/>
        <w:rPr>
          <w:rFonts w:ascii="Times New Roman" w:hAnsi="Times New Roman"/>
          <w:sz w:val="20"/>
        </w:rPr>
      </w:pPr>
      <w:r>
        <w:rPr>
          <w:rFonts w:ascii="Times New Roman" w:hAnsi="Times New Roman"/>
          <w:sz w:val="20"/>
        </w:rPr>
        <w:t xml:space="preserve">(xix) the use of proceeds of any Credit Extension; </w:t>
      </w:r>
    </w:p>
    <w:p>
      <w:pPr>
        <w:pStyle w:val="TextBody"/>
        <w:bidi w:val="0"/>
        <w:spacing w:before="120" w:after="0"/>
        <w:jc w:val="left"/>
        <w:rPr>
          <w:rFonts w:ascii="Times New Roman" w:hAnsi="Times New Roman"/>
          <w:sz w:val="20"/>
        </w:rPr>
      </w:pPr>
      <w:r>
        <w:rPr>
          <w:rFonts w:ascii="Times New Roman" w:hAnsi="Times New Roman"/>
          <w:sz w:val="20"/>
        </w:rPr>
        <w:t xml:space="preserve">(xx) any reduction in Principal as a result of the distribution of Collections if all or a portion of such distributions shall thereafter be rescinded or otherwise must be returned for any reason; </w:t>
      </w:r>
    </w:p>
    <w:p>
      <w:pPr>
        <w:pStyle w:val="TextBody"/>
        <w:bidi w:val="0"/>
        <w:spacing w:before="120" w:after="0"/>
        <w:jc w:val="left"/>
        <w:rPr>
          <w:rFonts w:ascii="Times New Roman" w:hAnsi="Times New Roman"/>
          <w:sz w:val="20"/>
        </w:rPr>
      </w:pPr>
      <w:r>
        <w:rPr>
          <w:rFonts w:ascii="Times New Roman" w:hAnsi="Times New Roman"/>
          <w:sz w:val="20"/>
        </w:rPr>
        <w:t xml:space="preserve">(xxi) any failure by the Borrower to pay any premium or other amount when due under the terms of any Credit Insurance Policy, to keep any Credit Insurance Policy in force or to make or perfect any claim for reimbursement under any Credit Insurance Policy; in each case, to the extent required pursuant to </w:t>
      </w:r>
      <w:r>
        <w:rPr>
          <w:rFonts w:ascii="Times New Roman" w:hAnsi="Times New Roman"/>
          <w:sz w:val="20"/>
          <w:u w:val="single"/>
        </w:rPr>
        <w:t>Section 8.07</w:t>
      </w:r>
      <w:r>
        <w:rPr>
          <w:rFonts w:ascii="Times New Roman" w:hAnsi="Times New Roman"/>
          <w:sz w:val="20"/>
        </w:rPr>
        <w:t>;</w:t>
      </w:r>
      <w:r>
        <w:rPr>
          <w:rFonts w:ascii="Times New Roman" w:hAnsi="Times New Roman"/>
          <w:strike/>
          <w:color w:val="FF0000"/>
          <w:sz w:val="20"/>
        </w:rPr>
        <w:t xml:space="preserve"> 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(xxii) any insurance premium payments paid by the Administrative Agent on any Credit Insurance Policy in accordance with this Agreement</w:t>
      </w:r>
      <w:r>
        <w:rPr>
          <w:rFonts w:ascii="Times New Roman" w:hAnsi="Times New Roman"/>
          <w:strike/>
          <w:color w:val="FF0000"/>
          <w:sz w:val="20"/>
        </w:rPr>
        <w:t>.</w:t>
      </w:r>
      <w:r>
        <w:rPr>
          <w:rFonts w:ascii="Times New Roman" w:hAnsi="Times New Roman"/>
          <w:color w:val="0000FF"/>
          <w:sz w:val="20"/>
          <w:u w:val="single"/>
          <w:bdr w:val="double" w:sz="2" w:space="1" w:color="000000"/>
        </w:rPr>
        <w:t>; 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(xxiii)</w:t>
      </w:r>
      <w:r>
        <w:rPr>
          <w:rFonts w:ascii="Times New Roman" w:hAnsi="Times New Roman"/>
          <w:sz w:val="20"/>
        </w:rPr>
        <w:t xml:space="preserve"> </w:t>
      </w:r>
      <w:r>
        <w:rPr>
          <w:rFonts w:ascii="Times New Roman" w:hAnsi="Times New Roman"/>
          <w:color w:val="0000FF"/>
          <w:sz w:val="20"/>
          <w:u w:val="single"/>
          <w:bdr w:val="double" w:sz="2" w:space="1" w:color="000000"/>
        </w:rPr>
        <w:t>the failure of the Borrower to comply with its obligations under Section 7.01(x)(ii) and a liability resulting from such failure is assessed by a tax authority against the Borrower.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11.03 </w:t>
      </w:r>
      <w:r>
        <w:rPr>
          <w:rFonts w:ascii="Times New Roman" w:hAnsi="Times New Roman"/>
          <w:b/>
          <w:sz w:val="20"/>
          <w:u w:val="single"/>
        </w:rPr>
        <w:t>Indemnification by the Servicers</w:t>
      </w:r>
      <w:r>
        <w:rPr>
          <w:rFonts w:ascii="Times New Roman" w:hAnsi="Times New Roman"/>
          <w:sz w:val="20"/>
        </w:rPr>
        <w:t>. Each Servicer, jointly and severally, hereby agrees to indemnify and hold harmless the Borrower, the Administrative Agent, the Credit Parties, the other Secured Parties and their respective assigns, officers, directors, agents and employees (each, a “</w:t>
      </w:r>
      <w:r>
        <w:rPr>
          <w:rFonts w:ascii="Times New Roman" w:hAnsi="Times New Roman"/>
          <w:sz w:val="20"/>
          <w:u w:val="single"/>
        </w:rPr>
        <w:t>Servicer Indemnified Party</w:t>
      </w:r>
      <w:r>
        <w:rPr>
          <w:rFonts w:ascii="Times New Roman" w:hAnsi="Times New Roman"/>
          <w:sz w:val="20"/>
        </w:rPr>
        <w:t>”), from and against any loss, liability, expense, damage or injury suffered or sustained by reason of any acts, omissions or alleged acts or omissions arising out of activities of each Servicer pursuant to this Agreement or any other Transaction Document, including any judgment, award, settlement, Attorney Costs and other costs or expenses incurred in connection with the defense of any actual or threatened action, proceeding or claim (all of the foregoing being collectively referred to as, “</w:t>
      </w:r>
      <w:r>
        <w:rPr>
          <w:rFonts w:ascii="Times New Roman" w:hAnsi="Times New Roman"/>
          <w:sz w:val="20"/>
          <w:u w:val="single"/>
        </w:rPr>
        <w:t>Servicer Indemnified Amounts</w:t>
      </w:r>
      <w:r>
        <w:rPr>
          <w:rFonts w:ascii="Times New Roman" w:hAnsi="Times New Roman"/>
          <w:sz w:val="20"/>
        </w:rPr>
        <w:t xml:space="preserve">”); excluding (i) any portion of Servicer Indemnified Amounts to the extent a final non-appealable judgment of a court of competent jurisdiction holds that portion of such Servicer Indemnified Amounts resulted solely from the gross negligence, bad faith or willful misconduct by each Servicer Indemnified Party seeking indemnification, (ii) Taxes (other than any Taxes that represent losses, claims, damages, etc. arising from any non-Tax claim) and (iii) Servicer Indemnified Amounts to the extent the same includes losses in respect of Pool Receivables that are uncollectible solely on account of the insolvency, bankruptcy, lack of creditworthiness or other financial inability to pay of the related Obligor. Without limiting or being limited by the foregoing, the Servicers shall pay on demand, to each Servicer Indemnified Party any and all amounts necessary to indemnify such Servicer Indemnified Party from and against any and all Servicer Indemnified Amounts relating to or resulting from any of the following (but excluding Servicer Indemnified Amounts described in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any representation, warranty or statement made or deemed made by any Servicer (or any of its respective officers) under or in connection with this Agreement, any of the other Transaction Documents, any Pool Report or any other information or report delivered by or on behalf of each Servicer pursuant hereto which shall have been untrue or incorrect when made or deemed made; </w:t>
      </w:r>
    </w:p>
    <w:p>
      <w:pPr>
        <w:pStyle w:val="TextBody"/>
        <w:bidi w:val="0"/>
        <w:spacing w:before="120" w:after="0"/>
        <w:jc w:val="left"/>
        <w:rPr>
          <w:rFonts w:ascii="Times New Roman" w:hAnsi="Times New Roman"/>
          <w:sz w:val="20"/>
        </w:rPr>
      </w:pPr>
      <w:r>
        <w:rPr>
          <w:rFonts w:ascii="Times New Roman" w:hAnsi="Times New Roman"/>
          <w:sz w:val="20"/>
        </w:rPr>
        <w:t xml:space="preserve">(ii) the failure by any Servicer to comply with any applicable Law with respect to any Pool Receivable or the related Contract; or the failure of any Pool Receivable or the related Contract to conform to any such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(iii) the misdirection of Collections or the commingling of Collections of Pool Receivables at any time with other funds; </w:t>
      </w:r>
    </w:p>
    <w:p>
      <w:pPr>
        <w:pStyle w:val="TextBody"/>
        <w:bidi w:val="0"/>
        <w:spacing w:before="120" w:after="0"/>
        <w:jc w:val="left"/>
        <w:rPr>
          <w:rFonts w:ascii="Times New Roman" w:hAnsi="Times New Roman"/>
          <w:sz w:val="20"/>
        </w:rPr>
      </w:pPr>
      <w:r>
        <w:rPr>
          <w:rFonts w:ascii="Times New Roman" w:hAnsi="Times New Roman"/>
          <w:sz w:val="20"/>
        </w:rPr>
        <w:t xml:space="preserve">(iv) any failure of a Collection Account Bank to comply with the terms of the applicable Account Control Agreement, the termination by a Collection Account Bank of any Account Control Agreement or any amounts (including in respect of an indemnity) payable by the Administrative Agent to a Collection Account Bank under any Account Control Agreement; </w:t>
      </w:r>
    </w:p>
    <w:p>
      <w:pPr>
        <w:pStyle w:val="TextBody"/>
        <w:bidi w:val="0"/>
        <w:spacing w:before="120" w:after="0"/>
        <w:jc w:val="left"/>
        <w:rPr>
          <w:rFonts w:ascii="Times New Roman" w:hAnsi="Times New Roman"/>
          <w:sz w:val="20"/>
        </w:rPr>
      </w:pPr>
      <w:r>
        <w:rPr>
          <w:rFonts w:ascii="Times New Roman" w:hAnsi="Times New Roman"/>
          <w:sz w:val="20"/>
        </w:rPr>
        <w:t xml:space="preserve">(v) the failure or delay to provide any Obligor with an invoice or other evidence of indebtedness; </w:t>
      </w:r>
    </w:p>
    <w:p>
      <w:pPr>
        <w:pStyle w:val="TextBody"/>
        <w:bidi w:val="0"/>
        <w:spacing w:before="120" w:after="0"/>
        <w:jc w:val="left"/>
        <w:rPr>
          <w:rFonts w:ascii="Times New Roman" w:hAnsi="Times New Roman"/>
          <w:sz w:val="20"/>
        </w:rPr>
      </w:pPr>
      <w:r>
        <w:rPr>
          <w:rFonts w:ascii="Times New Roman" w:hAnsi="Times New Roman"/>
          <w:sz w:val="20"/>
        </w:rPr>
        <w:t xml:space="preserve">(vi) the maintenance of any Linked Account with respect to any Collection Account or the debiting against any Collection Account of amounts as a result of any “Settlement Item” (as defined in the related Account Control Agreement) that originated in any Linked Account or any other account other than a Collection Account; </w:t>
      </w:r>
    </w:p>
    <w:p>
      <w:pPr>
        <w:pStyle w:val="TextBody"/>
        <w:bidi w:val="0"/>
        <w:spacing w:before="120" w:after="0"/>
        <w:jc w:val="left"/>
        <w:rPr>
          <w:rFonts w:ascii="Times New Roman" w:hAnsi="Times New Roman"/>
          <w:sz w:val="20"/>
        </w:rPr>
      </w:pPr>
      <w:r>
        <w:rPr>
          <w:rFonts w:ascii="Times New Roman" w:hAnsi="Times New Roman"/>
          <w:sz w:val="20"/>
        </w:rPr>
        <w:t xml:space="preserve">(vii) any failure of any Servicer to comply with its covenants, obligations and agreements contained in this Agreement or any other Transaction Document; </w:t>
      </w:r>
    </w:p>
    <w:p>
      <w:pPr>
        <w:pStyle w:val="TextBody"/>
        <w:bidi w:val="0"/>
        <w:spacing w:before="120" w:after="0"/>
        <w:jc w:val="left"/>
        <w:rPr>
          <w:rFonts w:ascii="Times New Roman" w:hAnsi="Times New Roman"/>
          <w:sz w:val="20"/>
        </w:rPr>
      </w:pPr>
      <w:r>
        <w:rPr>
          <w:rFonts w:ascii="Times New Roman" w:hAnsi="Times New Roman"/>
          <w:sz w:val="20"/>
        </w:rPr>
        <w:t xml:space="preserve">(viii) the failure of any Settlement Agent to perform its obligations under the applicable Clearing House Rules for any Clearing House, </w:t>
      </w:r>
    </w:p>
    <w:p>
      <w:pPr>
        <w:pStyle w:val="TextBody"/>
        <w:bidi w:val="0"/>
        <w:spacing w:before="120" w:after="0"/>
        <w:jc w:val="left"/>
        <w:rPr>
          <w:rFonts w:ascii="Times New Roman" w:hAnsi="Times New Roman"/>
          <w:sz w:val="20"/>
        </w:rPr>
      </w:pPr>
      <w:r>
        <w:rPr>
          <w:rFonts w:ascii="Times New Roman" w:hAnsi="Times New Roman"/>
          <w:sz w:val="20"/>
        </w:rPr>
        <w:t xml:space="preserve">(ix) a Settlement Agent withholds any Receivables, including in the event of the suspension of any Servicer from any Clearing House or any Settlement Agent nets or sets off any amount payable by any Borrower-Related Party against any Collections a Settlement Agent is required to remit to a Collection Account, </w:t>
      </w:r>
      <w:r>
        <w:rPr>
          <w:rFonts w:ascii="Times New Roman" w:hAnsi="Times New Roman"/>
          <w:strike/>
          <w:color w:val="FF0000"/>
          <w:sz w:val="20"/>
        </w:rPr>
        <w:t xml:space="preserve">or </w:t>
      </w:r>
    </w:p>
    <w:p>
      <w:pPr>
        <w:pStyle w:val="TextBody"/>
        <w:bidi w:val="0"/>
        <w:spacing w:before="120" w:after="0"/>
        <w:jc w:val="left"/>
        <w:rPr>
          <w:rFonts w:ascii="Times New Roman" w:hAnsi="Times New Roman"/>
          <w:sz w:val="20"/>
        </w:rPr>
      </w:pPr>
      <w:r>
        <w:rPr>
          <w:rFonts w:ascii="Times New Roman" w:hAnsi="Times New Roman"/>
          <w:sz w:val="20"/>
        </w:rPr>
        <w:t>(x) any judicial seizure, garnishment, or similar action on the Collections in the hands of a Settlement Agent that such Settlement Agent is required to remit to a Collection Account</w:t>
      </w:r>
      <w:r>
        <w:rPr>
          <w:rFonts w:ascii="Times New Roman" w:hAnsi="Times New Roman"/>
          <w:strike/>
          <w:color w:val="FF0000"/>
          <w:sz w:val="20"/>
        </w:rPr>
        <w:t>.</w:t>
      </w:r>
      <w:r>
        <w:rPr>
          <w:rFonts w:ascii="Times New Roman" w:hAnsi="Times New Roman"/>
          <w:color w:val="0000FF"/>
          <w:sz w:val="20"/>
          <w:u w:val="single"/>
          <w:bdr w:val="double" w:sz="2" w:space="1" w:color="000000"/>
        </w:rPr>
        <w:t>; or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(xi) solely with respect to the SG Servicer, a liability is assessed by a tax authority against the Borrower in connection with any Subordinated Loan to a SG Originator.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11.04 </w:t>
      </w:r>
      <w:r>
        <w:rPr>
          <w:rFonts w:ascii="Times New Roman" w:hAnsi="Times New Roman"/>
          <w:b/>
          <w:sz w:val="20"/>
          <w:u w:val="single"/>
        </w:rPr>
        <w:t>Currency Indemnity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for the purpose of obtaining judgment in any court, it is necessary to convert an amount owing hereunder in one currency into another currency, each party hereto agrees, to the fullest extent that it may effectively do so, that the rate of exchange used shall be that provided for the definition of Dollar Equivalent. </w:t>
      </w:r>
    </w:p>
    <w:p>
      <w:pPr>
        <w:pStyle w:val="TextBody"/>
        <w:bidi w:val="0"/>
        <w:spacing w:before="120" w:after="0"/>
        <w:jc w:val="left"/>
        <w:rPr>
          <w:rFonts w:ascii="Times New Roman" w:hAnsi="Times New Roman"/>
          <w:sz w:val="20"/>
        </w:rPr>
      </w:pPr>
      <w:r>
        <w:rPr>
          <w:rFonts w:ascii="Times New Roman" w:hAnsi="Times New Roman"/>
          <w:sz w:val="20"/>
        </w:rPr>
        <w:t>(b) The obligations of Borrower and Servicers in respect of any amount due to any party hereto (or their respective assigns) or any holder of the obligations owing hereunder or under any other Transaction Document (the “Applicable Creditor”) shall, notwithstanding any judgment in a currency (the “</w:t>
      </w:r>
      <w:r>
        <w:rPr>
          <w:rFonts w:ascii="Times New Roman" w:hAnsi="Times New Roman"/>
          <w:sz w:val="20"/>
          <w:u w:val="single"/>
        </w:rPr>
        <w:t>Judgment Currency</w:t>
      </w:r>
      <w:r>
        <w:rPr>
          <w:rFonts w:ascii="Times New Roman" w:hAnsi="Times New Roman"/>
          <w:sz w:val="20"/>
        </w:rPr>
        <w:t>”) other than the currency in which such amount is stated to be due hereunder (the “</w:t>
      </w:r>
      <w:r>
        <w:rPr>
          <w:rFonts w:ascii="Times New Roman" w:hAnsi="Times New Roman"/>
          <w:sz w:val="20"/>
          <w:u w:val="single"/>
        </w:rPr>
        <w:t>Agreement Currency</w:t>
      </w:r>
      <w:r>
        <w:rPr>
          <w:rFonts w:ascii="Times New Roman" w:hAnsi="Times New Roman"/>
          <w:sz w:val="20"/>
        </w:rPr>
        <w:t xml:space="preserve">”), be discharged only to the extent that, on the Business Day following receipt by the Applicable Creditor of any amount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Borrower or Servicers, as the case may be, shall, as a separate obligation and notwithstanding any such judgment, indemnify the Applicable Creditor against such loss. </w:t>
      </w:r>
    </w:p>
    <w:p>
      <w:pPr>
        <w:pStyle w:val="TextBody"/>
        <w:bidi w:val="0"/>
        <w:spacing w:before="240" w:after="0"/>
        <w:jc w:val="left"/>
        <w:rPr>
          <w:rFonts w:ascii="Times New Roman" w:hAnsi="Times New Roman"/>
          <w:sz w:val="20"/>
        </w:rPr>
      </w:pPr>
      <w:r>
        <w:rPr>
          <w:rFonts w:ascii="Times New Roman" w:hAnsi="Times New Roman"/>
          <w:sz w:val="20"/>
        </w:rPr>
        <w:t xml:space="preserve">SECTION 11.05 </w:t>
      </w:r>
      <w:r>
        <w:rPr>
          <w:rFonts w:ascii="Times New Roman" w:hAnsi="Times New Roman"/>
          <w:b/>
          <w:sz w:val="20"/>
          <w:u w:val="single"/>
        </w:rPr>
        <w:t>Reimbursement by Lenders</w:t>
      </w:r>
      <w:r>
        <w:rPr>
          <w:rFonts w:ascii="Times New Roman" w:hAnsi="Times New Roman"/>
          <w:sz w:val="20"/>
        </w:rPr>
        <w:t xml:space="preserve">. To the extent that the Borrower or the Servicers for any reason fails to indefeasibly pay any amount required under </w:t>
      </w:r>
      <w:r>
        <w:rPr>
          <w:rFonts w:ascii="Times New Roman" w:hAnsi="Times New Roman"/>
          <w:sz w:val="20"/>
          <w:u w:val="single"/>
        </w:rPr>
        <w:t>Section 11.01</w:t>
      </w:r>
      <w:r>
        <w:rPr>
          <w:rFonts w:ascii="Times New Roman" w:hAnsi="Times New Roman"/>
          <w:sz w:val="20"/>
        </w:rPr>
        <w:t xml:space="preserve">, </w:t>
      </w:r>
      <w:r>
        <w:rPr>
          <w:rFonts w:ascii="Times New Roman" w:hAnsi="Times New Roman"/>
          <w:sz w:val="20"/>
          <w:u w:val="single"/>
        </w:rPr>
        <w:t>11.02, 11.03</w:t>
      </w:r>
      <w:r>
        <w:rPr>
          <w:rFonts w:ascii="Times New Roman" w:hAnsi="Times New Roman"/>
          <w:sz w:val="20"/>
        </w:rPr>
        <w:t xml:space="preserve"> or </w:t>
      </w:r>
      <w:r>
        <w:rPr>
          <w:rFonts w:ascii="Times New Roman" w:hAnsi="Times New Roman"/>
          <w:sz w:val="20"/>
          <w:u w:val="single"/>
        </w:rPr>
        <w:t>11.04</w:t>
      </w:r>
      <w:r>
        <w:rPr>
          <w:rFonts w:ascii="Times New Roman" w:hAnsi="Times New Roman"/>
          <w:sz w:val="20"/>
        </w:rPr>
        <w:t xml:space="preserve"> (as the case may be) to be paid by it to the Administrative Agent (or any sub-agent thereof) or any of their respective Related Parties, each Lender severally agrees to pay to the Administrative Agent (or any such sub-agent) or such Related Party, as the case may be, such Lender’s pro rata share (determined as of the time that the applicable unreimbursed expense or indemnity payment is sought based on the Lenders’ respective Commitments at such time, or if all Commitments have been terminated, based on the Lenders’ respective Principal at such time) of such unpaid amount (including any such unpaid amount in respect of a claim asserted by such Lender). </w:t>
      </w:r>
    </w:p>
    <w:p>
      <w:pPr>
        <w:pStyle w:val="TextBody"/>
        <w:bidi w:val="0"/>
        <w:spacing w:before="240" w:after="0"/>
        <w:jc w:val="left"/>
        <w:rPr>
          <w:rFonts w:ascii="Times New Roman" w:hAnsi="Times New Roman"/>
          <w:sz w:val="20"/>
        </w:rPr>
      </w:pPr>
      <w:r>
        <w:rPr>
          <w:rFonts w:ascii="Times New Roman" w:hAnsi="Times New Roman"/>
          <w:sz w:val="20"/>
        </w:rPr>
        <w:t xml:space="preserve">SECTION 11.06 </w:t>
      </w:r>
      <w:r>
        <w:rPr>
          <w:rFonts w:ascii="Times New Roman" w:hAnsi="Times New Roman"/>
          <w:b/>
          <w:sz w:val="20"/>
          <w:u w:val="single"/>
        </w:rPr>
        <w:t>Waiver of Consequential Damages, Etc</w:t>
      </w:r>
      <w:r>
        <w:rPr>
          <w:rFonts w:ascii="Times New Roman" w:hAnsi="Times New Roman"/>
          <w:sz w:val="20"/>
        </w:rPr>
        <w:t xml:space="preserve">. To the fullest extent permitted by applicable Law, each of the Borrower and each Servicer agrees not to assert, and hereby waives, any claim against any Secured Party, on any theory of liability, for special, indirect, consequential or punitive damages (as opposed to direct or actual damages) arising out of, in connection with, or as a result of, this Agreement, any other Transaction Document or any agreement or instrument contemplated hereby, the transactions contemplated hereby or thereby, any Credit Extension or the use of the proceeds thereof. No Secured Party shall be liable for any damages arising from the use by unintended recipients of any information or other materials distributed by it through telecommunications, electronic or other information transmission systems in connection with this Agreement or the other Transaction Documents or the transactions contemplated hereby or thereby, except to the extent such liability or damages are determined by a court of competent jurisdiction by final and non-appealable judgment to have resulted from the gross negligence or willful misconduct of such Secured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11.07 </w:t>
      </w:r>
      <w:r>
        <w:rPr>
          <w:rFonts w:ascii="Times New Roman" w:hAnsi="Times New Roman"/>
          <w:b/>
          <w:sz w:val="20"/>
          <w:u w:val="single"/>
        </w:rPr>
        <w:t>Payments</w:t>
      </w:r>
      <w:r>
        <w:rPr>
          <w:rFonts w:ascii="Times New Roman" w:hAnsi="Times New Roman"/>
          <w:sz w:val="20"/>
        </w:rPr>
        <w:t xml:space="preserve">. All amounts due under this </w:t>
      </w:r>
      <w:r>
        <w:rPr>
          <w:rFonts w:ascii="Times New Roman" w:hAnsi="Times New Roman"/>
          <w:sz w:val="20"/>
          <w:u w:val="single"/>
        </w:rPr>
        <w:t>Article XI</w:t>
      </w:r>
      <w:r>
        <w:rPr>
          <w:rFonts w:ascii="Times New Roman" w:hAnsi="Times New Roman"/>
          <w:sz w:val="20"/>
        </w:rPr>
        <w:t xml:space="preserve"> shall be payable not later than (i) in the case of such amounts due from the Borrower, the first Settlement Date that occurs ten (10) or more days after demand therefor, or (ii) in any other case, ten (10) days after demand therefor. </w:t>
      </w:r>
    </w:p>
    <w:p>
      <w:pPr>
        <w:pStyle w:val="TextBody"/>
        <w:bidi w:val="0"/>
        <w:spacing w:before="240" w:after="0"/>
        <w:jc w:val="left"/>
        <w:rPr>
          <w:rFonts w:ascii="Times New Roman" w:hAnsi="Times New Roman"/>
          <w:sz w:val="20"/>
        </w:rPr>
      </w:pPr>
      <w:r>
        <w:rPr>
          <w:rFonts w:ascii="Times New Roman" w:hAnsi="Times New Roman"/>
          <w:sz w:val="20"/>
        </w:rPr>
        <w:t xml:space="preserve">SECTION 11.08 </w:t>
      </w:r>
      <w:r>
        <w:rPr>
          <w:rFonts w:ascii="Times New Roman" w:hAnsi="Times New Roman"/>
          <w:b/>
          <w:sz w:val="20"/>
          <w:u w:val="single"/>
        </w:rPr>
        <w:t>Survival</w:t>
      </w:r>
      <w:r>
        <w:rPr>
          <w:rFonts w:ascii="Times New Roman" w:hAnsi="Times New Roman"/>
          <w:sz w:val="20"/>
        </w:rPr>
        <w:t xml:space="preserve">. This </w:t>
      </w:r>
      <w:r>
        <w:rPr>
          <w:rFonts w:ascii="Times New Roman" w:hAnsi="Times New Roman"/>
          <w:sz w:val="20"/>
          <w:u w:val="single"/>
        </w:rPr>
        <w:t>Article XI</w:t>
      </w:r>
      <w:r>
        <w:rPr>
          <w:rFonts w:ascii="Times New Roman" w:hAnsi="Times New Roman"/>
          <w:sz w:val="20"/>
        </w:rPr>
        <w:t xml:space="preserve"> and the parties’ respective rights and obligations hereunder shall survive any termination of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 </w:t>
      </w:r>
    </w:p>
    <w:p>
      <w:pPr>
        <w:pStyle w:val="TextBody"/>
        <w:bidi w:val="0"/>
        <w:spacing w:before="24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12.01 </w:t>
      </w:r>
      <w:r>
        <w:rPr>
          <w:rFonts w:ascii="Times New Roman" w:hAnsi="Times New Roman"/>
          <w:b/>
          <w:sz w:val="20"/>
          <w:u w:val="single"/>
        </w:rPr>
        <w:t>Amendments, Etc</w:t>
      </w:r>
      <w:r>
        <w:rPr>
          <w:rFonts w:ascii="Times New Roman" w:hAnsi="Times New Roman"/>
          <w:sz w:val="20"/>
        </w:rPr>
        <w:t xml:space="preserve">. No amendment or waiver of any provision of this Agreement or consent to any departure by any of the Borrower or any Affiliate thereof shall be effective unless in a writing signed by the Administrative Agent and the Required Lenders (and, in the case of any amendment, also signed by the Borrower), and then such amendment, waiver or consent shall be effective only in the specific instance and for the specific purpose for which given;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no amendment, waiver or consent shall, unless in writing and signed by each Servicer, affect the rights or duties of each Servicer under this Agreement; (B) no amendment, waiver or consent shall, unless in writing and signed by each Class A Lender, change (directly or indirectly) the definition of Class A Final Maturity Date; (C) no amendment, waiver or consent shall, unless in writing and signed by each Class B Lender and, solely to the extent the effect is to cause the Class B Loans to mature prior to the Class A Loans, the Administrative Agent, change (directly or indirectly) the definition of Class B Final Maturity Date and (D) no amendment, waiver or consent shall, unless in writing and signed by the Administrative Agent and each Lender: </w:t>
      </w:r>
    </w:p>
    <w:p>
      <w:pPr>
        <w:pStyle w:val="TextBody"/>
        <w:bidi w:val="0"/>
        <w:spacing w:before="120" w:after="0"/>
        <w:jc w:val="left"/>
        <w:rPr>
          <w:rFonts w:ascii="Times New Roman" w:hAnsi="Times New Roman"/>
          <w:sz w:val="20"/>
        </w:rPr>
      </w:pPr>
      <w:r>
        <w:rPr>
          <w:rFonts w:ascii="Times New Roman" w:hAnsi="Times New Roman"/>
          <w:sz w:val="20"/>
        </w:rPr>
        <w:t>(i) change (directly or indirectly) the definitions of</w:t>
      </w:r>
      <w:r>
        <w:rPr>
          <w:rFonts w:ascii="Times New Roman" w:hAnsi="Times New Roman"/>
          <w:strike/>
          <w:color w:val="FF0000"/>
          <w:sz w:val="20"/>
        </w:rPr>
        <w:t xml:space="preserve">, </w:t>
      </w:r>
      <w:r>
        <w:rPr>
          <w:rFonts w:ascii="Times New Roman" w:hAnsi="Times New Roman"/>
          <w:sz w:val="20"/>
        </w:rPr>
        <w:t xml:space="preserve">Administrative Agent Transition Fee, Borrowing Base Deficit, Defaulted Receivable, Delinquent Receivable, Eligible Receivable, Facility Limit, Financial Covenant Event, Net Receivables Pool Balance, Transfer Termination Event or Total Reserves contained in this Agreement, or increase the then existing Concentration Percentage for any Obligor or change the calculation of the Borrowing Base; </w:t>
      </w:r>
    </w:p>
    <w:p>
      <w:pPr>
        <w:pStyle w:val="TextBody"/>
        <w:bidi w:val="0"/>
        <w:spacing w:before="120" w:after="0"/>
        <w:jc w:val="left"/>
        <w:rPr>
          <w:rFonts w:ascii="Times New Roman" w:hAnsi="Times New Roman"/>
          <w:sz w:val="20"/>
        </w:rPr>
      </w:pPr>
      <w:r>
        <w:rPr>
          <w:rFonts w:ascii="Times New Roman" w:hAnsi="Times New Roman"/>
          <w:sz w:val="20"/>
        </w:rPr>
        <w:t xml:space="preserve">(ii) reduce the amount of Principal or Interest that is payable on account of any Loan or with respect to any other Credit Extension or delay any scheduled date for payment thereof; </w:t>
      </w:r>
    </w:p>
    <w:p>
      <w:pPr>
        <w:pStyle w:val="TextBody"/>
        <w:bidi w:val="0"/>
        <w:spacing w:before="120" w:after="0"/>
        <w:jc w:val="left"/>
        <w:rPr>
          <w:rFonts w:ascii="Times New Roman" w:hAnsi="Times New Roman"/>
          <w:sz w:val="20"/>
        </w:rPr>
      </w:pPr>
      <w:r>
        <w:rPr>
          <w:rFonts w:ascii="Times New Roman" w:hAnsi="Times New Roman"/>
          <w:sz w:val="20"/>
        </w:rPr>
        <w:t xml:space="preserve">(iii) change (directly or indirectly) any Event of Default (it being understood and agreed that any amendment or waiver of, or any consent with respect to, any provision of this Agreement or any other Transaction Document, including any amendment of any affirmative or negative covenant set forth herein or in any other Transaction Document or any waiver of an Event of Default, shall not be deemed to be a change (directly or indirectly) of any Event of Default for purposes of this </w:t>
      </w:r>
      <w:r>
        <w:rPr>
          <w:rFonts w:ascii="Times New Roman" w:hAnsi="Times New Roman"/>
          <w:sz w:val="20"/>
          <w:u w:val="single"/>
        </w:rPr>
        <w:t>Section 12.01(iii)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release all or a material portion of the Collateral from the Administrative Agent’s security interest created hereunder; </w:t>
      </w:r>
    </w:p>
    <w:p>
      <w:pPr>
        <w:pStyle w:val="TextBody"/>
        <w:bidi w:val="0"/>
        <w:spacing w:before="120" w:after="0"/>
        <w:jc w:val="left"/>
        <w:rPr>
          <w:rFonts w:ascii="Times New Roman" w:hAnsi="Times New Roman"/>
          <w:sz w:val="20"/>
        </w:rPr>
      </w:pPr>
      <w:r>
        <w:rPr>
          <w:rFonts w:ascii="Times New Roman" w:hAnsi="Times New Roman"/>
          <w:sz w:val="20"/>
        </w:rPr>
        <w:t xml:space="preserve">(v) release the Performance Guarantor from any of its obligations under the Performance Guaranty or terminate the Performance Guaranty; </w:t>
      </w:r>
    </w:p>
    <w:p>
      <w:pPr>
        <w:pStyle w:val="TextBody"/>
        <w:bidi w:val="0"/>
        <w:spacing w:before="120" w:after="0"/>
        <w:jc w:val="left"/>
        <w:rPr>
          <w:rFonts w:ascii="Times New Roman" w:hAnsi="Times New Roman"/>
          <w:sz w:val="20"/>
        </w:rPr>
      </w:pPr>
      <w:r>
        <w:rPr>
          <w:rFonts w:ascii="Times New Roman" w:hAnsi="Times New Roman"/>
          <w:sz w:val="20"/>
        </w:rPr>
        <w:t xml:space="preserve">(vi) change any of the provisions of </w:t>
      </w:r>
      <w:r>
        <w:rPr>
          <w:rFonts w:ascii="Times New Roman" w:hAnsi="Times New Roman"/>
          <w:sz w:val="20"/>
          <w:u w:val="single"/>
        </w:rPr>
        <w:t>Section 2.03(f)(i)</w:t>
      </w:r>
      <w:r>
        <w:rPr>
          <w:rFonts w:ascii="Times New Roman" w:hAnsi="Times New Roman"/>
          <w:sz w:val="20"/>
        </w:rPr>
        <w:t xml:space="preserve">, </w:t>
      </w:r>
      <w:r>
        <w:rPr>
          <w:rFonts w:ascii="Times New Roman" w:hAnsi="Times New Roman"/>
          <w:sz w:val="20"/>
          <w:u w:val="single"/>
        </w:rPr>
        <w:t>Section 2.03(f)(ii)</w:t>
      </w:r>
      <w:r>
        <w:rPr>
          <w:rFonts w:ascii="Times New Roman" w:hAnsi="Times New Roman"/>
          <w:sz w:val="20"/>
        </w:rPr>
        <w:t xml:space="preserve">, </w:t>
      </w:r>
      <w:r>
        <w:rPr>
          <w:rFonts w:ascii="Times New Roman" w:hAnsi="Times New Roman"/>
          <w:sz w:val="20"/>
          <w:u w:val="single"/>
        </w:rPr>
        <w:t>Section 3.02(a)</w:t>
      </w:r>
      <w:r>
        <w:rPr>
          <w:rFonts w:ascii="Times New Roman" w:hAnsi="Times New Roman"/>
          <w:sz w:val="20"/>
        </w:rPr>
        <w:t xml:space="preserve">, </w:t>
      </w:r>
      <w:r>
        <w:rPr>
          <w:rFonts w:ascii="Times New Roman" w:hAnsi="Times New Roman"/>
          <w:sz w:val="20"/>
          <w:u w:val="single"/>
        </w:rPr>
        <w:t>Section 7.01</w:t>
      </w:r>
      <w:r>
        <w:rPr>
          <w:rFonts w:ascii="Times New Roman" w:hAnsi="Times New Roman"/>
          <w:sz w:val="20"/>
        </w:rPr>
        <w:t xml:space="preserve">, </w:t>
      </w:r>
      <w:r>
        <w:rPr>
          <w:rFonts w:ascii="Times New Roman" w:hAnsi="Times New Roman"/>
          <w:sz w:val="20"/>
          <w:u w:val="single"/>
        </w:rPr>
        <w:t>Section 7.02, Section 7.03</w:t>
      </w:r>
      <w:r>
        <w:rPr>
          <w:rFonts w:ascii="Times New Roman" w:hAnsi="Times New Roman"/>
          <w:sz w:val="20"/>
        </w:rPr>
        <w:t xml:space="preserve"> or </w:t>
      </w:r>
      <w:r>
        <w:rPr>
          <w:rFonts w:ascii="Times New Roman" w:hAnsi="Times New Roman"/>
          <w:sz w:val="20"/>
          <w:u w:val="single"/>
        </w:rPr>
        <w:t>Section 8.01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 change any of the provisions of this </w:t>
      </w:r>
      <w:r>
        <w:rPr>
          <w:rFonts w:ascii="Times New Roman" w:hAnsi="Times New Roman"/>
          <w:sz w:val="20"/>
          <w:u w:val="single"/>
        </w:rPr>
        <w:t>Section 12.01</w:t>
      </w:r>
      <w:r>
        <w:rPr>
          <w:rFonts w:ascii="Times New Roman" w:hAnsi="Times New Roman"/>
          <w:sz w:val="20"/>
        </w:rPr>
        <w:t xml:space="preserve"> or the definition of “Required Lenders”; or </w:t>
      </w:r>
    </w:p>
    <w:p>
      <w:pPr>
        <w:pStyle w:val="TextBody"/>
        <w:bidi w:val="0"/>
        <w:spacing w:before="120" w:after="0"/>
        <w:jc w:val="left"/>
        <w:rPr>
          <w:rFonts w:ascii="Times New Roman" w:hAnsi="Times New Roman"/>
          <w:sz w:val="20"/>
        </w:rPr>
      </w:pPr>
      <w:r>
        <w:rPr>
          <w:rFonts w:ascii="Times New Roman" w:hAnsi="Times New Roman"/>
          <w:sz w:val="20"/>
        </w:rPr>
        <w:t xml:space="preserve">(viii) change the order of priority in which Collections are applied pursuant to </w:t>
      </w:r>
      <w:r>
        <w:rPr>
          <w:rFonts w:ascii="Times New Roman" w:hAnsi="Times New Roman"/>
          <w:sz w:val="20"/>
          <w:u w:val="single"/>
        </w:rPr>
        <w:t>Section 3.01(a)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no amendment, waiver or consent shall increase any Lender’s Commitment hereunder without the consent of such Lender, (B) no amendment, waiver or consent shall reduce any Fees payable by the Borrower to any Lender or delay the dates on which any such Fees are payable, in either case, without the consent of such Lender, </w:t>
      </w:r>
      <w:r>
        <w:rPr>
          <w:rFonts w:ascii="Times New Roman" w:hAnsi="Times New Roman"/>
          <w:strike/>
          <w:color w:val="FF0000"/>
          <w:sz w:val="20"/>
        </w:rPr>
        <w:t xml:space="preserve">and </w:t>
      </w:r>
      <w:r>
        <w:rPr>
          <w:rFonts w:ascii="Times New Roman" w:hAnsi="Times New Roman"/>
          <w:sz w:val="20"/>
        </w:rPr>
        <w:t>(C)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Defaulting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r>
        <w:rPr>
          <w:rFonts w:ascii="Times New Roman" w:hAnsi="Times New Roman"/>
          <w:strike/>
          <w:color w:val="FF0000"/>
          <w:sz w:val="20"/>
        </w:rPr>
        <w:t>.</w:t>
      </w:r>
      <w:r>
        <w:rPr>
          <w:rFonts w:ascii="Times New Roman" w:hAnsi="Times New Roman"/>
          <w:color w:val="0000FF"/>
          <w:sz w:val="20"/>
          <w:u w:val="single"/>
          <w:bdr w:val="double" w:sz="2" w:space="1" w:color="000000"/>
        </w:rPr>
        <w:t>, and (D) any amendments, supplements or modifications of the Fees or other amounts due to a single Class of Lenders shall only require the consent of the Lenders of such Class (but the Borrower shall provide a copy of any such amendment to the Administrative Agent and each Lender Representative promptly following execution thereof) so long as the annualized all-in Fees (other than the Class B Upfront Fee) payable by the Borrower to such Class of Lenders do not exceed two times the annualized all-in Fees (other than the Class B Upfront Fee) payable by the Borrower to such Class of Lenders on the First Amendment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addition, notwithstanding the foregoing, (a) with the consent of the Borrower, the Administrative Agent may amend, modify or supplement this Agreement without the consent of any Lender or the Required Lenders in order to correct or cure any ambiguity, inconsistency or defect or correct any typographical or ministerial error in this Agreement (provided that any such amendment, modification or supplement shall not be materially adverse to the interests of the Lenders taken as a whole), </w:t>
      </w:r>
      <w:r>
        <w:rPr>
          <w:rFonts w:ascii="Times New Roman" w:hAnsi="Times New Roman"/>
          <w:strike/>
          <w:color w:val="FF0000"/>
          <w:sz w:val="20"/>
        </w:rPr>
        <w:t xml:space="preserve">and </w:t>
      </w:r>
      <w:r>
        <w:rPr>
          <w:rFonts w:ascii="Times New Roman" w:hAnsi="Times New Roman"/>
          <w:sz w:val="20"/>
        </w:rPr>
        <w:t xml:space="preserve">(b) without the consent of any Lender or the Borrower, within a reasonable time after (x) the effective date of any increase or addition to, extension of or decrease from, the Facility Limit, or (y) any assignment by any Lender of some or all of its Commitment, the Administrative Agent shall, and is hereby authorized to, revise </w:t>
      </w:r>
      <w:r>
        <w:rPr>
          <w:rFonts w:ascii="Times New Roman" w:hAnsi="Times New Roman"/>
          <w:sz w:val="20"/>
          <w:u w:val="single"/>
        </w:rPr>
        <w:t>Schedule I</w:t>
      </w:r>
      <w:r>
        <w:rPr>
          <w:rFonts w:ascii="Times New Roman" w:hAnsi="Times New Roman"/>
          <w:sz w:val="20"/>
        </w:rPr>
        <w:t xml:space="preserve"> to reflect such change, whereupon such revised </w:t>
      </w:r>
      <w:r>
        <w:rPr>
          <w:rFonts w:ascii="Times New Roman" w:hAnsi="Times New Roman"/>
          <w:sz w:val="20"/>
          <w:u w:val="single"/>
        </w:rPr>
        <w:t>Schedule I</w:t>
      </w:r>
      <w:r>
        <w:rPr>
          <w:rFonts w:ascii="Times New Roman" w:hAnsi="Times New Roman"/>
          <w:sz w:val="20"/>
        </w:rPr>
        <w:t xml:space="preserve"> shall replace the old </w:t>
      </w:r>
      <w:r>
        <w:rPr>
          <w:rFonts w:ascii="Times New Roman" w:hAnsi="Times New Roman"/>
          <w:sz w:val="20"/>
          <w:u w:val="single"/>
        </w:rPr>
        <w:t>Schedule I</w:t>
      </w:r>
      <w:r>
        <w:rPr>
          <w:rFonts w:ascii="Times New Roman" w:hAnsi="Times New Roman"/>
          <w:sz w:val="20"/>
        </w:rPr>
        <w:t xml:space="preserve"> and become part of this Agreement</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and (c) amendments or other modifications that are permitted to be made in accordance with other conditions expressly identified herein may be made in accordance with (and shall be effective upon the satisfaction of) such other expressly identified conditions (</w:t>
      </w:r>
      <w:r>
        <w:rPr>
          <w:rFonts w:ascii="Times New Roman" w:hAnsi="Times New Roman"/>
          <w:i/>
          <w:color w:val="0000FF"/>
          <w:sz w:val="20"/>
          <w:u w:val="single"/>
          <w:bdr w:val="double" w:sz="2" w:space="1" w:color="000000"/>
        </w:rPr>
        <w:t>e.g.</w:t>
      </w:r>
      <w:r>
        <w:rPr>
          <w:rFonts w:ascii="Times New Roman" w:hAnsi="Times New Roman"/>
          <w:color w:val="0000FF"/>
          <w:sz w:val="20"/>
          <w:u w:val="single"/>
          <w:bdr w:val="double" w:sz="2" w:space="1" w:color="000000"/>
        </w:rPr>
        <w:t>, any updates to exhibits or scheduled permitted to be made with the consent of the Administrative Agent).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12.02 </w:t>
      </w:r>
      <w:r>
        <w:rPr>
          <w:rFonts w:ascii="Times New Roman" w:hAnsi="Times New Roman"/>
          <w:b/>
          <w:sz w:val="20"/>
          <w:u w:val="single"/>
        </w:rPr>
        <w:t>No Implied Waivers; Cumulative Remedies</w:t>
      </w:r>
      <w:r>
        <w:rPr>
          <w:rFonts w:ascii="Times New Roman" w:hAnsi="Times New Roman"/>
          <w:sz w:val="20"/>
        </w:rPr>
        <w:t xml:space="preserve">. No course of dealing and no delay or failure of the Administrative Agent or any other Credit Party in exercising any right, power, remedy or privilege under this Agreement or any other Transaction Document shall affect any other or future exercise thereof or operate as a waiver thereof, nor shall any single or partial exercise thereof preclude any further exercise thereof or of any other right, power, remedy or privilege. The enumeration of the rights and remedies of the Administrative Agent and the other Credit Parties specified in this Agreement is not intended to be exhaustive and the exercise by the Administrative Agent and the Credit Parties of any right or remedy shall not preclude the exercise of any other rights or remedies, all of which shall be cumulative, and shall be in addition to any other right or remedy given hereunder or under the other Transaction Documents or that may now or hereafter exist at law or in equity or by suit or otherwise. No reasonable delay or failure to take action on the part of the Administrative Agent or any other Credit Party in exercising any right, power or privilege shall operate as a waiver thereof, nor shall any single or partial exercise of any such right, power or privilege preclude any other or further exercise thereof or the exercise of any other right, power or privilege or shall be construed to be a waiver of any Event of Default or Financial Covenant Event. </w:t>
      </w:r>
    </w:p>
    <w:p>
      <w:pPr>
        <w:pStyle w:val="TextBody"/>
        <w:bidi w:val="0"/>
        <w:spacing w:before="240" w:after="0"/>
        <w:jc w:val="left"/>
        <w:rPr>
          <w:rFonts w:ascii="Times New Roman" w:hAnsi="Times New Roman"/>
          <w:sz w:val="20"/>
        </w:rPr>
      </w:pPr>
      <w:r>
        <w:rPr>
          <w:rFonts w:ascii="Times New Roman" w:hAnsi="Times New Roman"/>
          <w:sz w:val="20"/>
        </w:rPr>
        <w:t xml:space="preserve">SECTION 12.03 </w:t>
      </w:r>
      <w:r>
        <w:rPr>
          <w:rFonts w:ascii="Times New Roman" w:hAnsi="Times New Roman"/>
          <w:b/>
          <w:sz w:val="20"/>
          <w:u w:val="single"/>
        </w:rPr>
        <w:t>Notices; Effectiveness; Electronic Communication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u w:val="single"/>
        </w:rPr>
        <w:t>Notices Generally</w:t>
      </w:r>
      <w:r>
        <w:rPr>
          <w:rFonts w:ascii="Times New Roman" w:hAnsi="Times New Roman"/>
          <w:sz w:val="20"/>
        </w:rPr>
        <w:t xml:space="preserve">. Except in the case of notices and other communications expressly permitted to be given by telephone (and except as provided in </w:t>
      </w:r>
      <w:r>
        <w:rPr>
          <w:rFonts w:ascii="Times New Roman" w:hAnsi="Times New Roman"/>
          <w:sz w:val="20"/>
          <w:u w:val="single"/>
        </w:rPr>
        <w:t>paragraph (b)</w:t>
      </w:r>
      <w:r>
        <w:rPr>
          <w:rFonts w:ascii="Times New Roman" w:hAnsi="Times New Roman"/>
          <w:sz w:val="20"/>
        </w:rPr>
        <w:t xml:space="preserve"> below), all notices and other communications provided for herein shall be in writing and shall be delivered by hand or overnight courier service, mailed by certified or registered mail or sent by facsimile to the relevant party as specified on </w:t>
      </w:r>
      <w:r>
        <w:rPr>
          <w:rFonts w:ascii="Times New Roman" w:hAnsi="Times New Roman"/>
          <w:sz w:val="20"/>
          <w:u w:val="single"/>
        </w:rPr>
        <w:t>Schedule III</w:t>
      </w:r>
      <w:r>
        <w:rPr>
          <w:rFonts w:ascii="Times New Roman" w:hAnsi="Times New Roman"/>
          <w:sz w:val="20"/>
        </w:rPr>
        <w:t xml:space="preserve"> hereto. 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w:t>
      </w:r>
      <w:r>
        <w:rPr>
          <w:rFonts w:ascii="Times New Roman" w:hAnsi="Times New Roman"/>
          <w:sz w:val="20"/>
          <w:u w:val="single"/>
        </w:rPr>
        <w:t>paragraph (b)</w:t>
      </w:r>
      <w:r>
        <w:rPr>
          <w:rFonts w:ascii="Times New Roman" w:hAnsi="Times New Roman"/>
          <w:sz w:val="20"/>
        </w:rPr>
        <w:t xml:space="preserve"> below, shall be effective as provided in such </w:t>
      </w:r>
      <w:r>
        <w:rPr>
          <w:rFonts w:ascii="Times New Roman" w:hAnsi="Times New Roman"/>
          <w:sz w:val="20"/>
          <w:u w:val="single"/>
        </w:rPr>
        <w:t>paragraph (b)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u w:val="single"/>
        </w:rPr>
        <w:t>Electronic Communications</w:t>
      </w:r>
      <w:r>
        <w:rPr>
          <w:rFonts w:ascii="Times New Roman" w:hAnsi="Times New Roman"/>
          <w:sz w:val="20"/>
        </w:rPr>
        <w:t xml:space="preserve">. Notices and other communications to the Credit Parties hereunder may be delivered or furnished by electronic communication (including e-mail and Internet or intranet websites) pursuant to procedures approved by the Administrative Agent. The Administrative Agent or the Borrower may, in its discretion, agree to accept notices and other communications to it hereunder by electronic communications pursuant to procedures approved by it; </w:t>
      </w:r>
      <w:r>
        <w:rPr>
          <w:rFonts w:ascii="Times New Roman" w:hAnsi="Times New Roman"/>
          <w:sz w:val="20"/>
          <w:u w:val="single"/>
        </w:rPr>
        <w:t>provided</w:t>
      </w:r>
      <w:r>
        <w:rPr>
          <w:rFonts w:ascii="Times New Roman" w:hAnsi="Times New Roman"/>
          <w:sz w:val="20"/>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clause (i)</w:t>
      </w:r>
      <w:r>
        <w:rPr>
          <w:rFonts w:ascii="Times New Roman" w:hAnsi="Times New Roman"/>
          <w:sz w:val="20"/>
        </w:rPr>
        <w:t xml:space="preserve">, of notification that such notice or communication is available and identifying the website address therefor; </w:t>
      </w:r>
      <w:r>
        <w:rPr>
          <w:rFonts w:ascii="Times New Roman" w:hAnsi="Times New Roman"/>
          <w:sz w:val="20"/>
          <w:u w:val="single"/>
        </w:rPr>
        <w:t>provided</w:t>
      </w:r>
      <w:r>
        <w:rPr>
          <w:rFonts w:ascii="Times New Roman" w:hAnsi="Times New Roman"/>
          <w:sz w:val="20"/>
        </w:rPr>
        <w:t xml:space="preserve"> that, for both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above, if such notice, email or other communication is not sent during the normal business hours of the recipient, such notice or communication shall be deemed to have been sent at the opening of business on the next business day for the recipient.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u w:val="single"/>
        </w:rPr>
        <w:t>Change of Address, etc</w:t>
      </w:r>
      <w:r>
        <w:rPr>
          <w:rFonts w:ascii="Times New Roman" w:hAnsi="Times New Roman"/>
          <w:sz w:val="20"/>
        </w:rPr>
        <w:t xml:space="preserve">. Any party hereto may change its address or facsimile number for notices and other communications hereunder by notice to the other parties hereto.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sz w:val="20"/>
          <w:u w:val="single"/>
        </w:rPr>
        <w:t>Platform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of the Borrower and each Servicer agrees that the Administrative Agent may, but shall not be obligated to, make the Communications (as defined below) available to the Credit Parties by posting the Communications on the Platform. </w:t>
      </w:r>
    </w:p>
    <w:p>
      <w:pPr>
        <w:pStyle w:val="TextBody"/>
        <w:bidi w:val="0"/>
        <w:spacing w:before="120" w:after="0"/>
        <w:jc w:val="left"/>
        <w:rPr>
          <w:rFonts w:ascii="Times New Roman" w:hAnsi="Times New Roman"/>
          <w:sz w:val="20"/>
        </w:rPr>
      </w:pPr>
      <w:r>
        <w:rPr>
          <w:rFonts w:ascii="Times New Roman" w:hAnsi="Times New Roman"/>
          <w:sz w:val="20"/>
        </w:rPr>
        <w:t>(ii) 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Times New Roman" w:hAnsi="Times New Roman"/>
          <w:sz w:val="20"/>
          <w:u w:val="single"/>
        </w:rPr>
        <w:t>Agent Parties</w:t>
      </w:r>
      <w:r>
        <w:rPr>
          <w:rFonts w:ascii="Times New Roman" w:hAnsi="Times New Roman"/>
          <w:sz w:val="20"/>
        </w:rPr>
        <w:t>”) have any liability to any Borrower-Related Party, any Credit Party or any other Person for damages of any kind, including, without limitation, direct or indirect, special, incidental or consequential damages, losses or expenses (whether in tort, contract or otherwise) arising out of any Borrower-Related Party’s or the Administrative Agent’s transmission of communications through the Platform. “</w:t>
      </w:r>
      <w:r>
        <w:rPr>
          <w:rFonts w:ascii="Times New Roman" w:hAnsi="Times New Roman"/>
          <w:sz w:val="20"/>
          <w:u w:val="single"/>
        </w:rPr>
        <w:t>Communications</w:t>
      </w:r>
      <w:r>
        <w:rPr>
          <w:rFonts w:ascii="Times New Roman" w:hAnsi="Times New Roman"/>
          <w:sz w:val="20"/>
        </w:rPr>
        <w:t xml:space="preserve">” means, collectively, any notice, demand, communication, information, document or other material provided by or on behalf of any Borrower-Related Party pursuant to any Transaction Document or the transactions contemplated therein which is distributed to the Administrative Agent or any other Credit Party by means of electronic communications pursuant to this Section, including through the Platform. </w:t>
      </w:r>
    </w:p>
    <w:p>
      <w:pPr>
        <w:pStyle w:val="TextBody"/>
        <w:bidi w:val="0"/>
        <w:spacing w:before="240" w:after="0"/>
        <w:jc w:val="left"/>
        <w:rPr>
          <w:rFonts w:ascii="Times New Roman" w:hAnsi="Times New Roman"/>
          <w:sz w:val="20"/>
        </w:rPr>
      </w:pPr>
      <w:r>
        <w:rPr>
          <w:rFonts w:ascii="Times New Roman" w:hAnsi="Times New Roman"/>
          <w:sz w:val="20"/>
        </w:rPr>
        <w:t xml:space="preserve">SECTION 12.04 </w:t>
      </w:r>
      <w:r>
        <w:rPr>
          <w:rFonts w:ascii="Times New Roman" w:hAnsi="Times New Roman"/>
          <w:b/>
          <w:sz w:val="20"/>
          <w:u w:val="single"/>
        </w:rPr>
        <w:t>Severability</w:t>
      </w:r>
      <w:r>
        <w:rPr>
          <w:rFonts w:ascii="Times New Roman" w:hAnsi="Times New Roman"/>
          <w:sz w:val="20"/>
        </w:rPr>
        <w:t xml:space="preserve">. The provisions of this Agreement are intended to be severable. If any provision of this Agreement shall be held invalid or unenforceable in whole or in part in any jurisdiction, such provision shall, as to such jurisdiction, be ineffective to the extent of such invalidity or unenforceability without in any manner affecting the validity or enforceability thereof in any other jurisdiction or the remaining provisions hereof in any jurisdiction. Without limiting the foregoing provisions of this Section,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12.05 </w:t>
      </w:r>
      <w:r>
        <w:rPr>
          <w:rFonts w:ascii="Times New Roman" w:hAnsi="Times New Roman"/>
          <w:b/>
          <w:sz w:val="20"/>
          <w:u w:val="single"/>
        </w:rPr>
        <w:t>Duration; Survival</w:t>
      </w:r>
      <w:r>
        <w:rPr>
          <w:rFonts w:ascii="Times New Roman" w:hAnsi="Times New Roman"/>
          <w:sz w:val="20"/>
        </w:rPr>
        <w:t>. All representations and warranties of the Borrower-Related Parties contained herein or made in connection herewith shall survive the execution and delivery of this Agreement and the completion of the transactions hereunder, and shall continue in full force and effect until the Final Payout Date. All covenants and agreements of the Borrower-Related Parties contained herein relating to the payment of principal, interest, premiums, additional compensation or expenses and indemnification, or that are otherwise specified as surviving termination of this Agreement, in each case, shall survive the Final Payout Date and any termination of this Agreement. All other covenants and agreements of the Borrower-Related Parties shall continue in full force and effect from and after the Closing Date and until the Final Payout Date</w:t>
      </w:r>
      <w:r>
        <w:rPr>
          <w:rFonts w:ascii="Times New Roman" w:hAnsi="Times New Roman"/>
          <w:color w:val="0000FF"/>
          <w:sz w:val="20"/>
          <w:u w:val="single"/>
          <w:bdr w:val="double" w:sz="2" w:space="1" w:color="00000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12.06 </w:t>
      </w:r>
      <w:r>
        <w:rPr>
          <w:rFonts w:ascii="Times New Roman" w:hAnsi="Times New Roman"/>
          <w:b/>
          <w:sz w:val="20"/>
          <w:u w:val="single"/>
        </w:rPr>
        <w:t>Successors and Assigns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u w:val="single"/>
        </w:rPr>
        <w:t>Successors and Assigns Generally</w:t>
      </w:r>
      <w:r>
        <w:rPr>
          <w:rFonts w:ascii="Times New Roman" w:hAnsi="Times New Roman"/>
          <w:sz w:val="20"/>
        </w:rPr>
        <w:t xml:space="preserve">. The provisions of this Agreement shall be binding upon, and inure to the benefit of, the parties hereto and their respective successors and assigns permitted hereby, except that neither the Borrower nor any other Borrower-Related Party may assign or otherwise transfer any of its rights or obligations hereunder (including, in each case, by way of an LLC Division) without the prior written consent of the Administrative Agent and each Lender and no Lender may assign or otherwise transfer any of its rights or obligations hereunder except (i) to an assignee in accordance with the provisions of </w:t>
      </w:r>
      <w:r>
        <w:rPr>
          <w:rFonts w:ascii="Times New Roman" w:hAnsi="Times New Roman"/>
          <w:sz w:val="20"/>
          <w:u w:val="single"/>
        </w:rPr>
        <w:t>paragraph (b)</w:t>
      </w:r>
      <w:r>
        <w:rPr>
          <w:rFonts w:ascii="Times New Roman" w:hAnsi="Times New Roman"/>
          <w:sz w:val="20"/>
        </w:rPr>
        <w:t xml:space="preserve"> of this Section, (ii) by way of participation in accordance with the provisions of </w:t>
      </w:r>
      <w:r>
        <w:rPr>
          <w:rFonts w:ascii="Times New Roman" w:hAnsi="Times New Roman"/>
          <w:sz w:val="20"/>
          <w:u w:val="single"/>
        </w:rPr>
        <w:t>paragraph (d)</w:t>
      </w:r>
      <w:r>
        <w:rPr>
          <w:rFonts w:ascii="Times New Roman" w:hAnsi="Times New Roman"/>
          <w:sz w:val="20"/>
        </w:rPr>
        <w:t xml:space="preserve"> of this Section, or (iii) by way of pledge or assignment of a security interest subject to the restrictions of </w:t>
      </w:r>
      <w:r>
        <w:rPr>
          <w:rFonts w:ascii="Times New Roman" w:hAnsi="Times New Roman"/>
          <w:sz w:val="20"/>
          <w:u w:val="single"/>
        </w:rPr>
        <w:t>paragraph (e)</w:t>
      </w:r>
      <w:r>
        <w:rPr>
          <w:rFonts w:ascii="Times New Roman" w:hAnsi="Times New Roman"/>
          <w:sz w:val="20"/>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hAnsi="Times New Roman"/>
          <w:sz w:val="20"/>
          <w:u w:val="single"/>
        </w:rPr>
        <w:t>paragraph (d)</w:t>
      </w:r>
      <w:r>
        <w:rPr>
          <w:rFonts w:ascii="Times New Roman" w:hAnsi="Times New Roman"/>
          <w:sz w:val="20"/>
        </w:rPr>
        <w:t xml:space="preserve"> of this Section and, to the extent expressly contemplated hereby, the Related Parties of each of the Administrative Agent and the Lenders) any legal or equitable right, remedy or claim under or by reason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u w:val="single"/>
        </w:rPr>
        <w:t>Assignments by Lenders</w:t>
      </w:r>
      <w:r>
        <w:rPr>
          <w:rFonts w:ascii="Times New Roman" w:hAnsi="Times New Roman"/>
          <w:sz w:val="20"/>
        </w:rPr>
        <w:t xml:space="preserve">. Any Lender may at any time assign to one or more assignees all or a portion of its rights and obligations under this Agreement (including all or a portion of its Commitment and the Loans at the time owing to it); </w:t>
      </w:r>
      <w:r>
        <w:rPr>
          <w:rFonts w:ascii="Times New Roman" w:hAnsi="Times New Roman"/>
          <w:sz w:val="20"/>
          <w:u w:val="single"/>
        </w:rPr>
        <w:t>provided</w:t>
      </w:r>
      <w:r>
        <w:rPr>
          <w:rFonts w:ascii="Times New Roman" w:hAnsi="Times New Roman"/>
          <w:sz w:val="20"/>
        </w:rPr>
        <w:t xml:space="preserve"> that any such assignment shall be subject to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b/>
          <w:sz w:val="20"/>
          <w:u w:val="single"/>
        </w:rPr>
        <w:t>Minimum Amounts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 in the case of an assignment of the entire remaining amount of the assigning Lender’s Commitment and the Loans at the time owing to it or contemporaneous assignments to related Approved Funds (determined after giving effect to such assignments) that equal at least the amount specified in </w:t>
      </w:r>
      <w:r>
        <w:rPr>
          <w:rFonts w:ascii="Times New Roman" w:hAnsi="Times New Roman"/>
          <w:sz w:val="20"/>
          <w:u w:val="single"/>
        </w:rPr>
        <w:t>paragraph (b)(i)(2)</w:t>
      </w:r>
      <w:r>
        <w:rPr>
          <w:rFonts w:ascii="Times New Roman" w:hAnsi="Times New Roman"/>
          <w:sz w:val="20"/>
        </w:rPr>
        <w:t xml:space="preserve"> of this Section in the aggregate or in the case of an assignment to a Lender, an Affiliate of a Lender or an Approved Fund, no minimum amount need be assigned;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in any case not described in </w:t>
      </w:r>
      <w:r>
        <w:rPr>
          <w:rFonts w:ascii="Times New Roman" w:hAnsi="Times New Roman"/>
          <w:sz w:val="20"/>
          <w:u w:val="single"/>
        </w:rPr>
        <w:t>clause (i)(1)</w:t>
      </w:r>
      <w:r>
        <w:rPr>
          <w:rFonts w:ascii="Times New Roman" w:hAnsi="Times New Roman"/>
          <w:sz w:val="20"/>
        </w:rPr>
        <w:t xml:space="preserve">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Agreement with respect to such assignment is delivered to the Administrative Agent or, if “Trade Date” is specified in the Assignment and Assumption Agreement, as of such Trade Date) shall not be less than $5,000,000, unless each of the Administrative Agent and, so long as no Event of Default or Financial Covenant Event has occurred and is continuing, the Borrower otherwise consents (each such consent not to be unreasonably withheld or delayed).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b/>
          <w:sz w:val="20"/>
          <w:u w:val="single"/>
        </w:rPr>
        <w:t>Proportionate Amounts</w:t>
      </w:r>
      <w:r>
        <w:rPr>
          <w:rFonts w:ascii="Times New Roman" w:hAnsi="Times New Roman"/>
          <w:sz w:val="20"/>
        </w:rPr>
        <w:t xml:space="preserve">. Each partial assignment shall be made as an assignment of a proportionate part of all the assigning Lender’s rights and obligations under this Agreement with respect to the Loan or the Commitment assigned.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b/>
          <w:sz w:val="20"/>
          <w:u w:val="single"/>
        </w:rPr>
        <w:t>Required Consents</w:t>
      </w:r>
      <w:r>
        <w:rPr>
          <w:rFonts w:ascii="Times New Roman" w:hAnsi="Times New Roman"/>
          <w:sz w:val="20"/>
        </w:rPr>
        <w:t xml:space="preserve">. No consent shall be required for any assignment except to the extent required by </w:t>
      </w:r>
      <w:r>
        <w:rPr>
          <w:rFonts w:ascii="Times New Roman" w:hAnsi="Times New Roman"/>
          <w:sz w:val="20"/>
          <w:u w:val="single"/>
        </w:rPr>
        <w:t>paragraph (b)(i)(2)</w:t>
      </w:r>
      <w:r>
        <w:rPr>
          <w:rFonts w:ascii="Times New Roman" w:hAnsi="Times New Roman"/>
          <w:sz w:val="20"/>
        </w:rPr>
        <w:t xml:space="preserve"> of this Section and, in addition: </w:t>
      </w:r>
    </w:p>
    <w:p>
      <w:pPr>
        <w:pStyle w:val="TextBody"/>
        <w:bidi w:val="0"/>
        <w:spacing w:before="120" w:after="0"/>
        <w:jc w:val="left"/>
        <w:rPr>
          <w:rFonts w:ascii="Times New Roman" w:hAnsi="Times New Roman"/>
          <w:sz w:val="20"/>
        </w:rPr>
      </w:pPr>
      <w:r>
        <w:rPr>
          <w:rFonts w:ascii="Times New Roman" w:hAnsi="Times New Roman"/>
          <w:sz w:val="20"/>
        </w:rPr>
        <w:t xml:space="preserve">(1) the consent of the Borrower (such consent not to be unreasonably withheld or delayed) shall be required unless (x) an Event of Default or Financial Covenant Event has occurred and is continuing at the time of such assignment or (y) such assignment is to a Lender, an Affiliate of a Lender or an Approved Fund; </w:t>
      </w:r>
      <w:r>
        <w:rPr>
          <w:rFonts w:ascii="Times New Roman" w:hAnsi="Times New Roman"/>
          <w:sz w:val="20"/>
          <w:u w:val="single"/>
        </w:rPr>
        <w:t>provided</w:t>
      </w:r>
      <w:r>
        <w:rPr>
          <w:rFonts w:ascii="Times New Roman" w:hAnsi="Times New Roman"/>
          <w:sz w:val="20"/>
        </w:rPr>
        <w:t xml:space="preserve"> that the Borrower shall be deemed to have consented to any such assignment unless it shall object thereto by written notice to the Administrative Agent within five (5) Business Days after having received notice thereof; and </w:t>
      </w:r>
    </w:p>
    <w:p>
      <w:pPr>
        <w:pStyle w:val="TextBody"/>
        <w:bidi w:val="0"/>
        <w:spacing w:before="120" w:after="0"/>
        <w:jc w:val="left"/>
        <w:rPr>
          <w:rFonts w:ascii="Times New Roman" w:hAnsi="Times New Roman"/>
          <w:sz w:val="20"/>
        </w:rPr>
      </w:pPr>
      <w:r>
        <w:rPr>
          <w:rFonts w:ascii="Times New Roman" w:hAnsi="Times New Roman"/>
          <w:sz w:val="20"/>
        </w:rPr>
        <w:t xml:space="preserve">(2) the consent of the Administrative Agent (such consent not to be unreasonably withheld, conditioned or delayed) shall be required for assignments to a Person that is not a Lender with a Commitment, an Affiliate of such Lender or an Approved Fund with respect to such Lender.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b/>
          <w:sz w:val="20"/>
          <w:u w:val="single"/>
        </w:rPr>
        <w:t>Assignment and Assumption Agreement</w:t>
      </w:r>
      <w:r>
        <w:rPr>
          <w:rFonts w:ascii="Times New Roman" w:hAnsi="Times New Roman"/>
          <w:sz w:val="20"/>
        </w:rPr>
        <w:t xml:space="preserve">. The parties to each assignment shall execute and deliver to the Administrative Agent an Assignment and Assumption Agreement, together with a processing and recordation fee of $3,000. The assignee, if it is not a Lender, shall deliver to the Administrative Agent an Administrative Questionnaire.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b/>
          <w:sz w:val="20"/>
          <w:u w:val="single"/>
        </w:rPr>
        <w:t>No Assignment to Certain Persons</w:t>
      </w:r>
      <w:r>
        <w:rPr>
          <w:rFonts w:ascii="Times New Roman" w:hAnsi="Times New Roman"/>
          <w:sz w:val="20"/>
        </w:rPr>
        <w:t xml:space="preserve">. No such assignment shall be made (A) to any Borrower-Related Party or any Borrower-Related Party’s Affiliates or Subsidiaries or (B) to any Defaulting Lender or any of its Subsidiaries, or any Person who, upon becoming a Lender hereunder, would constitute a Defaulting Lender or a Subsidiary thereof.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b/>
          <w:sz w:val="20"/>
          <w:u w:val="single"/>
        </w:rPr>
        <w:t>No Assignment to Natural Persons</w:t>
      </w:r>
      <w:r>
        <w:rPr>
          <w:rFonts w:ascii="Times New Roman" w:hAnsi="Times New Roman"/>
          <w:sz w:val="20"/>
        </w:rPr>
        <w:t xml:space="preserve">. No such assignment shall be made to a natural Person (or a holding company, investment vehicle or trust for, or owned and operated for the primary benefit of, a natural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w:t>
      </w:r>
      <w:r>
        <w:rPr>
          <w:rFonts w:ascii="Times New Roman" w:hAnsi="Times New Roman"/>
          <w:b/>
          <w:sz w:val="20"/>
          <w:u w:val="single"/>
        </w:rPr>
        <w:t>Certain Additional Payments</w:t>
      </w:r>
      <w:r>
        <w:rPr>
          <w:rFonts w:ascii="Times New Roman" w:hAnsi="Times New Roman"/>
          <w:sz w:val="20"/>
        </w:rPr>
        <w:t xml:space="preserve">. In connection with any assignment of rights and obligations of any Defaulting Lender hereunder, no such assignment shall be effective unless and until, in addition to the other conditions thereto specified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and each other Lender hereunder (and interest accrued thereon), and (y) acquire (and fund as appropriate) its full pro rata share of all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 </w:t>
      </w:r>
    </w:p>
    <w:p>
      <w:pPr>
        <w:pStyle w:val="TextBody"/>
        <w:bidi w:val="0"/>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b/>
          <w:sz w:val="20"/>
          <w:u w:val="single"/>
        </w:rPr>
        <w:t>Effectiveness; Release</w:t>
      </w:r>
      <w:r>
        <w:rPr>
          <w:rFonts w:ascii="Times New Roman" w:hAnsi="Times New Roman"/>
          <w:sz w:val="20"/>
        </w:rPr>
        <w:t xml:space="preserve">. Subject to acceptance and recording thereof by the Administrative Agent pursuant to </w:t>
      </w:r>
      <w:r>
        <w:rPr>
          <w:rFonts w:ascii="Times New Roman" w:hAnsi="Times New Roman"/>
          <w:sz w:val="20"/>
          <w:u w:val="single"/>
        </w:rPr>
        <w:t>paragraph (c)</w:t>
      </w:r>
      <w:r>
        <w:rPr>
          <w:rFonts w:ascii="Times New Roman" w:hAnsi="Times New Roman"/>
          <w:sz w:val="20"/>
        </w:rPr>
        <w:t xml:space="preserve"> below, from and after the effective date specified in each Assignment and Assumption Agreement, the assignee thereunder shall be a party to this Agreement and, to the extent of the interest assigned by such Assignment and Assumption Agreement, have the rights and obligations of a Lender under this Agreement, and the assigning Lender thereunder shall, to the extent of the interest assigned by such Assignment and Assumption Agreement, be released from its obligations under this Agreement (and, in the case of an Assignment and Assumption Agreement covering all of the assigning Lender’s rights and obligations under this Agreement, such Lender shall cease to be a party hereto) but shall continue to be entitled to the benefits of </w:t>
      </w:r>
      <w:r>
        <w:rPr>
          <w:rFonts w:ascii="Times New Roman" w:hAnsi="Times New Roman"/>
          <w:sz w:val="20"/>
          <w:u w:val="single"/>
        </w:rPr>
        <w:t>Section 2.04</w:t>
      </w:r>
      <w:r>
        <w:rPr>
          <w:rFonts w:ascii="Times New Roman" w:hAnsi="Times New Roman"/>
          <w:sz w:val="20"/>
        </w:rPr>
        <w:t xml:space="preserve">, </w:t>
      </w:r>
      <w:r>
        <w:rPr>
          <w:rFonts w:ascii="Times New Roman" w:hAnsi="Times New Roman"/>
          <w:sz w:val="20"/>
          <w:u w:val="single"/>
        </w:rPr>
        <w:t>Section 4.01</w:t>
      </w:r>
      <w:r>
        <w:rPr>
          <w:rFonts w:ascii="Times New Roman" w:hAnsi="Times New Roman"/>
          <w:sz w:val="20"/>
        </w:rPr>
        <w:t xml:space="preserve">, and </w:t>
      </w:r>
      <w:r>
        <w:rPr>
          <w:rFonts w:ascii="Times New Roman" w:hAnsi="Times New Roman"/>
          <w:sz w:val="20"/>
          <w:u w:val="single"/>
        </w:rPr>
        <w:t>Article XI</w:t>
      </w:r>
      <w:r>
        <w:rPr>
          <w:rFonts w:ascii="Times New Roman" w:hAnsi="Times New Roman"/>
          <w:sz w:val="20"/>
        </w:rPr>
        <w:t xml:space="preserve"> with respect to facts and circumstances occurring prior to the effective date of such assignment; </w:t>
      </w:r>
      <w:r>
        <w:rPr>
          <w:rFonts w:ascii="Times New Roman" w:hAnsi="Times New Roman"/>
          <w:sz w:val="20"/>
          <w:u w:val="single"/>
        </w:rPr>
        <w:t>provided</w:t>
      </w:r>
      <w:r>
        <w:rPr>
          <w:rFonts w:ascii="Times New Roman" w:hAnsi="Times New Roman"/>
          <w:sz w:val="20"/>
        </w:rPr>
        <w:t xml:space="preserve">,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w:t>
      </w:r>
      <w:r>
        <w:rPr>
          <w:rFonts w:ascii="Times New Roman" w:hAnsi="Times New Roman"/>
          <w:sz w:val="20"/>
          <w:u w:val="single"/>
        </w:rPr>
        <w:t>paragraph (d)</w:t>
      </w:r>
      <w:r>
        <w:rPr>
          <w:rFonts w:ascii="Times New Roman" w:hAnsi="Times New Roman"/>
          <w:sz w:val="20"/>
        </w:rPr>
        <w:t xml:space="preserve">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u w:val="single"/>
        </w:rPr>
        <w:t>Register</w:t>
      </w:r>
      <w:r>
        <w:rPr>
          <w:rFonts w:ascii="Times New Roman" w:hAnsi="Times New Roman"/>
          <w:sz w:val="20"/>
        </w:rPr>
        <w:t>. The Administrative Agent, acting solely for this purpose as an agent of the Borrower, shall maintain at one of its offices in Pittsburgh, Pennsylvania a copy of each Assignment and Assumption Agreement delivered to it and a register for the recordation of the names and addresses of the Lenders, and the Commitments of, and principal amounts (and stated interest) of the Loans owing to, each Lender pursuant to the terms hereof from time to time (the “</w:t>
      </w:r>
      <w:r>
        <w:rPr>
          <w:rFonts w:ascii="Times New Roman" w:hAnsi="Times New Roman"/>
          <w:sz w:val="20"/>
          <w:u w:val="single"/>
        </w:rPr>
        <w:t>Register</w:t>
      </w:r>
      <w:r>
        <w:rPr>
          <w:rFonts w:ascii="Times New Roman" w:hAnsi="Times New Roman"/>
          <w:sz w:val="20"/>
        </w:rPr>
        <w:t xml:space="preserve">”).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b/>
          <w:sz w:val="20"/>
          <w:u w:val="single"/>
        </w:rPr>
        <w:t>Participations</w:t>
      </w:r>
      <w:r>
        <w:rPr>
          <w:rFonts w:ascii="Times New Roman" w:hAnsi="Times New Roman"/>
          <w:sz w:val="20"/>
        </w:rPr>
        <w:t>. Any Lender may at any time, without the consent of, or notice to, the Borrower or the Administrative Agent, sell participations to any Person (other than a natural Person, or a holding company, investment vehicle or trust for, or owned and operated for the primary benefit of, a natural Person, or the Borrower or any of the Borrower’s Affiliates or Subsidiaries) (each, a “</w:t>
      </w:r>
      <w:r>
        <w:rPr>
          <w:rFonts w:ascii="Times New Roman" w:hAnsi="Times New Roman"/>
          <w:sz w:val="20"/>
          <w:u w:val="single"/>
        </w:rPr>
        <w:t>Participant</w:t>
      </w:r>
      <w:r>
        <w:rPr>
          <w:rFonts w:ascii="Times New Roman" w:hAnsi="Times New Roman"/>
          <w:sz w:val="20"/>
        </w:rPr>
        <w:t xml:space="preserve">”) in all or a portion of such Lender’s rights and/or obligations under this Agreement (including all or a portion of its Commitment and/or the Loans owing to it); </w:t>
      </w:r>
      <w:r>
        <w:rPr>
          <w:rFonts w:ascii="Times New Roman" w:hAnsi="Times New Roman"/>
          <w:sz w:val="20"/>
          <w:u w:val="single"/>
        </w:rPr>
        <w:t>provided</w:t>
      </w:r>
      <w:r>
        <w:rPr>
          <w:rFonts w:ascii="Times New Roman" w:hAnsi="Times New Roman"/>
          <w:sz w:val="20"/>
        </w:rPr>
        <w:t xml:space="preserve"> that (i) such Lender’s obligations under this Agreement shall remain unchanged, (ii) such Lender shall remain solely responsible to the other parties hereto for the performance of such obligations, and (iii) the Borrower, the Administrative Agent and the other Credit Parties shall continue to deal solely and directly with such Lender in connection with such Lender’s rights and obligations under this Agreement. For the avoidance of doubt, each Lender shall be responsible for any indemnity under </w:t>
      </w:r>
      <w:r>
        <w:rPr>
          <w:rFonts w:ascii="Times New Roman" w:hAnsi="Times New Roman"/>
          <w:sz w:val="20"/>
          <w:u w:val="single"/>
        </w:rPr>
        <w:t>Article XI</w:t>
      </w:r>
      <w:r>
        <w:rPr>
          <w:rFonts w:ascii="Times New Roman" w:hAnsi="Times New Roman"/>
          <w:sz w:val="20"/>
        </w:rPr>
        <w:t xml:space="preserve"> Expenses; Indemnity; Damage Waiver with respect to any payments made by such Lender to its Participant(s). </w:t>
      </w:r>
    </w:p>
    <w:p>
      <w:pPr>
        <w:pStyle w:val="TextBody"/>
        <w:bidi w:val="0"/>
        <w:spacing w:before="240" w:after="0"/>
        <w:jc w:val="left"/>
        <w:rPr>
          <w:rFonts w:ascii="Times New Roman" w:hAnsi="Times New Roman"/>
          <w:sz w:val="20"/>
        </w:rPr>
      </w:pPr>
      <w:r>
        <w:rPr>
          <w:rFonts w:ascii="Times New Roman" w:hAnsi="Times New Roman"/>
          <w:sz w:val="20"/>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hAnsi="Times New Roman"/>
          <w:sz w:val="20"/>
          <w:u w:val="single"/>
        </w:rPr>
        <w:t>provided</w:t>
      </w:r>
      <w:r>
        <w:rPr>
          <w:rFonts w:ascii="Times New Roman" w:hAnsi="Times New Roman"/>
          <w:sz w:val="20"/>
        </w:rPr>
        <w:t xml:space="preserve"> that such agreement or instrument may provide that such Lender will not, without the consent of the Participant, agree (other than as is already provided for herein) to any amendment, modification or waiver with respect to any matter specified in </w:t>
      </w:r>
      <w:r>
        <w:rPr>
          <w:rFonts w:ascii="Times New Roman" w:hAnsi="Times New Roman"/>
          <w:sz w:val="20"/>
          <w:u w:val="single"/>
        </w:rPr>
        <w:t>clause (i)</w:t>
      </w:r>
      <w:r>
        <w:rPr>
          <w:rFonts w:ascii="Times New Roman" w:hAnsi="Times New Roman"/>
          <w:sz w:val="20"/>
        </w:rPr>
        <w:t xml:space="preserve"> through </w:t>
      </w:r>
      <w:r>
        <w:rPr>
          <w:rFonts w:ascii="Times New Roman" w:hAnsi="Times New Roman"/>
          <w:sz w:val="20"/>
          <w:u w:val="single"/>
        </w:rPr>
        <w:t>(vii)</w:t>
      </w:r>
      <w:r>
        <w:rPr>
          <w:rFonts w:ascii="Times New Roman" w:hAnsi="Times New Roman"/>
          <w:sz w:val="20"/>
        </w:rPr>
        <w:t xml:space="preserve"> of </w:t>
      </w:r>
      <w:r>
        <w:rPr>
          <w:rFonts w:ascii="Times New Roman" w:hAnsi="Times New Roman"/>
          <w:sz w:val="20"/>
          <w:u w:val="single"/>
        </w:rPr>
        <w:t>Section 12.01</w:t>
      </w:r>
      <w:r>
        <w:rPr>
          <w:rFonts w:ascii="Times New Roman" w:hAnsi="Times New Roman"/>
          <w:sz w:val="20"/>
        </w:rPr>
        <w:t xml:space="preserve"> that affects such Participant. The Borrower agrees that each Participant shall be entitled to the benefits of </w:t>
      </w:r>
      <w:r>
        <w:rPr>
          <w:rFonts w:ascii="Times New Roman" w:hAnsi="Times New Roman"/>
          <w:sz w:val="20"/>
          <w:u w:val="single"/>
        </w:rPr>
        <w:t>Sections 2.04</w:t>
      </w:r>
      <w:r>
        <w:rPr>
          <w:rFonts w:ascii="Times New Roman" w:hAnsi="Times New Roman"/>
          <w:sz w:val="20"/>
        </w:rPr>
        <w:t xml:space="preserve">, </w:t>
      </w:r>
      <w:r>
        <w:rPr>
          <w:rFonts w:ascii="Times New Roman" w:hAnsi="Times New Roman"/>
          <w:sz w:val="20"/>
          <w:u w:val="single"/>
        </w:rPr>
        <w:t>4.01</w:t>
      </w:r>
      <w:r>
        <w:rPr>
          <w:rFonts w:ascii="Times New Roman" w:hAnsi="Times New Roman"/>
          <w:sz w:val="20"/>
        </w:rPr>
        <w:t xml:space="preserve">, </w:t>
      </w:r>
      <w:r>
        <w:rPr>
          <w:rFonts w:ascii="Times New Roman" w:hAnsi="Times New Roman"/>
          <w:sz w:val="20"/>
          <w:u w:val="single"/>
        </w:rPr>
        <w:t>4.02</w:t>
      </w:r>
      <w:r>
        <w:rPr>
          <w:rFonts w:ascii="Times New Roman" w:hAnsi="Times New Roman"/>
          <w:sz w:val="20"/>
        </w:rPr>
        <w:t xml:space="preserve"> and </w:t>
      </w:r>
      <w:r>
        <w:rPr>
          <w:rFonts w:ascii="Times New Roman" w:hAnsi="Times New Roman"/>
          <w:sz w:val="20"/>
          <w:u w:val="single"/>
        </w:rPr>
        <w:t>4.03</w:t>
      </w:r>
      <w:r>
        <w:rPr>
          <w:rFonts w:ascii="Times New Roman" w:hAnsi="Times New Roman"/>
          <w:sz w:val="20"/>
        </w:rPr>
        <w:t xml:space="preserve"> (subject to the requirements and limitations therein, including the requirements under </w:t>
      </w:r>
      <w:r>
        <w:rPr>
          <w:rFonts w:ascii="Times New Roman" w:hAnsi="Times New Roman"/>
          <w:sz w:val="20"/>
          <w:u w:val="single"/>
        </w:rPr>
        <w:t>Section 4.03(g)</w:t>
      </w:r>
      <w:r>
        <w:rPr>
          <w:rFonts w:ascii="Times New Roman" w:hAnsi="Times New Roman"/>
          <w:sz w:val="20"/>
        </w:rPr>
        <w:t xml:space="preserve"> (it being understood that the documentation required under </w:t>
      </w:r>
      <w:r>
        <w:rPr>
          <w:rFonts w:ascii="Times New Roman" w:hAnsi="Times New Roman"/>
          <w:sz w:val="20"/>
          <w:u w:val="single"/>
        </w:rPr>
        <w:t>Section 4.03(g)</w:t>
      </w:r>
      <w:r>
        <w:rPr>
          <w:rFonts w:ascii="Times New Roman" w:hAnsi="Times New Roman"/>
          <w:sz w:val="20"/>
        </w:rPr>
        <w:t xml:space="preserve"> shall be delivered to the participating Lender)) to the same extent as if it were a Lender and had acquired its interest by assignment pursuant to </w:t>
      </w:r>
      <w:r>
        <w:rPr>
          <w:rFonts w:ascii="Times New Roman" w:hAnsi="Times New Roman"/>
          <w:sz w:val="20"/>
          <w:u w:val="single"/>
        </w:rPr>
        <w:t>paragraph (b)</w:t>
      </w:r>
      <w:r>
        <w:rPr>
          <w:rFonts w:ascii="Times New Roman" w:hAnsi="Times New Roman"/>
          <w:sz w:val="20"/>
        </w:rPr>
        <w:t xml:space="preserve"> of this Section; </w:t>
      </w:r>
      <w:r>
        <w:rPr>
          <w:rFonts w:ascii="Times New Roman" w:hAnsi="Times New Roman"/>
          <w:sz w:val="20"/>
          <w:u w:val="single"/>
        </w:rPr>
        <w:t>provided</w:t>
      </w:r>
      <w:r>
        <w:rPr>
          <w:rFonts w:ascii="Times New Roman" w:hAnsi="Times New Roman"/>
          <w:sz w:val="20"/>
        </w:rPr>
        <w:t xml:space="preserve"> that such Participant shall not be entitled to receive any greater payment under </w:t>
      </w:r>
      <w:r>
        <w:rPr>
          <w:rFonts w:ascii="Times New Roman" w:hAnsi="Times New Roman"/>
          <w:sz w:val="20"/>
          <w:u w:val="single"/>
        </w:rPr>
        <w:t>Sections 4.01</w:t>
      </w:r>
      <w:r>
        <w:rPr>
          <w:rFonts w:ascii="Times New Roman" w:hAnsi="Times New Roman"/>
          <w:sz w:val="20"/>
        </w:rPr>
        <w:t xml:space="preserve"> or </w:t>
      </w:r>
      <w:r>
        <w:rPr>
          <w:rFonts w:ascii="Times New Roman" w:hAnsi="Times New Roman"/>
          <w:sz w:val="20"/>
          <w:u w:val="single"/>
        </w:rPr>
        <w:t>4.03</w:t>
      </w:r>
      <w:r>
        <w:rPr>
          <w:rFonts w:ascii="Times New Roman" w:hAnsi="Times New Roman"/>
          <w:sz w:val="20"/>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To the extent permitted by Law, each Participant also shall be entitled to the benefits of </w:t>
      </w:r>
      <w:r>
        <w:rPr>
          <w:rFonts w:ascii="Times New Roman" w:hAnsi="Times New Roman"/>
          <w:sz w:val="20"/>
          <w:u w:val="single"/>
        </w:rPr>
        <w:t>Section 9.02(b)</w:t>
      </w:r>
      <w:r>
        <w:rPr>
          <w:rFonts w:ascii="Times New Roman" w:hAnsi="Times New Roman"/>
          <w:sz w:val="20"/>
        </w:rPr>
        <w:t xml:space="preserve"> as though it were a Lender; </w:t>
      </w:r>
      <w:r>
        <w:rPr>
          <w:rFonts w:ascii="Times New Roman" w:hAnsi="Times New Roman"/>
          <w:sz w:val="20"/>
          <w:u w:val="single"/>
        </w:rPr>
        <w:t>provided</w:t>
      </w:r>
      <w:r>
        <w:rPr>
          <w:rFonts w:ascii="Times New Roman" w:hAnsi="Times New Roman"/>
          <w:sz w:val="20"/>
        </w:rPr>
        <w:t xml:space="preserve"> that such Participant agrees to be subject to </w:t>
      </w:r>
      <w:r>
        <w:rPr>
          <w:rFonts w:ascii="Times New Roman" w:hAnsi="Times New Roman"/>
          <w:sz w:val="20"/>
          <w:u w:val="single"/>
        </w:rPr>
        <w:t>Section 3.03</w:t>
      </w:r>
      <w:r>
        <w:rPr>
          <w:rFonts w:ascii="Times New Roman" w:hAnsi="Times New Roman"/>
          <w:sz w:val="20"/>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Transaction Documents (the “</w:t>
      </w:r>
      <w:r>
        <w:rPr>
          <w:rFonts w:ascii="Times New Roman" w:hAnsi="Times New Roman"/>
          <w:sz w:val="20"/>
          <w:u w:val="single"/>
        </w:rPr>
        <w:t>Participant Register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Transaction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b/>
          <w:sz w:val="20"/>
          <w:u w:val="single"/>
        </w:rPr>
        <w:t>Certain Pledges; Successors and Assigns Generally</w:t>
      </w:r>
      <w:r>
        <w:rPr>
          <w:rFonts w:ascii="Times New Roman" w:hAnsi="Times New Roman"/>
          <w:sz w:val="20"/>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 w:hAnsi="Times New Roman"/>
          <w:sz w:val="20"/>
          <w:u w:val="single"/>
        </w:rPr>
        <w:t>provided</w:t>
      </w:r>
      <w:r>
        <w:rPr>
          <w:rFonts w:ascii="Times New Roman" w:hAnsi="Times New Roman"/>
          <w:sz w:val="20"/>
        </w:rPr>
        <w:t xml:space="preserve"> that no such pledge or assignment shall release such Lender from any of its obligations hereunder or substitute any such pledgee or assignee for such Lender as a party hereto.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b/>
          <w:sz w:val="20"/>
          <w:u w:val="single"/>
        </w:rPr>
        <w:t>Cashless Settlement</w:t>
      </w:r>
      <w:r>
        <w:rPr>
          <w:rFonts w:ascii="Times New Roman" w:hAnsi="Times New Roman"/>
          <w:sz w:val="20"/>
        </w:rPr>
        <w:t xml:space="preserve">. Notwithstanding anything to the contrary contained in this Agreement, any Lender may exchange, continue or rollover all or a portion of its Loans in connection with any refinancing, extension, loan modification or similar transaction permitted by the terms of this Agreement, pursuant to a cashless settlement mechanism approved by the Borrower, the Administrative Agent and such Lender.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b/>
          <w:sz w:val="20"/>
          <w:u w:val="single"/>
        </w:rPr>
        <w:t>Arrangers/Bookrunners</w:t>
      </w:r>
      <w:r>
        <w:rPr>
          <w:rFonts w:ascii="Times New Roman" w:hAnsi="Times New Roman"/>
          <w:sz w:val="20"/>
        </w:rPr>
        <w:t xml:space="preserve">. Notwithstanding anything to the contrary contained in this Agreement, the name of any arranger and/or bookrunner listed on the cover page of this Agreement may be changed by the Administrative Agent to the name of any Lender or Lender’s broker-dealer Affiliate, upon written request to the Administrative Agent by any such arranger and/or bookrunner and the applicable Lender or Lender’s broker-deal Affiliate. </w:t>
      </w:r>
    </w:p>
    <w:p>
      <w:pPr>
        <w:pStyle w:val="TextBody"/>
        <w:bidi w:val="0"/>
        <w:spacing w:before="240" w:after="0"/>
        <w:jc w:val="left"/>
        <w:rPr>
          <w:rFonts w:ascii="Times New Roman" w:hAnsi="Times New Roman"/>
          <w:sz w:val="20"/>
        </w:rPr>
      </w:pPr>
      <w:r>
        <w:rPr>
          <w:rFonts w:ascii="Times New Roman" w:hAnsi="Times New Roman"/>
          <w:sz w:val="20"/>
        </w:rPr>
        <w:t xml:space="preserve">SECTION 12.07 </w:t>
      </w:r>
      <w:r>
        <w:rPr>
          <w:rFonts w:ascii="Times New Roman" w:hAnsi="Times New Roman"/>
          <w:b/>
          <w:sz w:val="20"/>
          <w:u w:val="single"/>
        </w:rPr>
        <w:t>No Proceedings</w:t>
      </w:r>
      <w:r>
        <w:rPr>
          <w:rFonts w:ascii="Times New Roman" w:hAnsi="Times New Roman"/>
          <w:sz w:val="20"/>
        </w:rPr>
        <w:t xml:space="preserve">. Each of each Servicer, the Lenders and each assignee of a Loan or any interest therein, hereby covenants and agrees that it will not institute against, or join any other Person in instituting against, the Borrower any Relief Proceeding until one year and one day after the Final Payout Date; </w:t>
      </w:r>
      <w:r>
        <w:rPr>
          <w:rFonts w:ascii="Times New Roman" w:hAnsi="Times New Roman"/>
          <w:sz w:val="20"/>
          <w:u w:val="single"/>
        </w:rPr>
        <w:t>provided</w:t>
      </w:r>
      <w:r>
        <w:rPr>
          <w:rFonts w:ascii="Times New Roman" w:hAnsi="Times New Roman"/>
          <w:sz w:val="20"/>
        </w:rPr>
        <w:t xml:space="preserve">, that the Administrative Agent may take any such action in its sole discretion following the occurrence of an Event of Default or Financial Covenant Event. The provisions of this Section shall survive any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12.08 </w:t>
      </w:r>
      <w:r>
        <w:rPr>
          <w:rFonts w:ascii="Times New Roman" w:hAnsi="Times New Roman"/>
          <w:b/>
          <w:sz w:val="20"/>
          <w:u w:val="single"/>
        </w:rPr>
        <w:t>Confidentiality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u w:val="single"/>
        </w:rPr>
        <w:t>General</w:t>
      </w:r>
      <w:r>
        <w:rPr>
          <w:rFonts w:ascii="Times New Roman" w:hAnsi="Times New Roman"/>
          <w:sz w:val="20"/>
        </w:rPr>
        <w:t xml:space="preserve">. Each Credit Party agrees to maintain the confidentiality of the Information (as defined below), except that Information may be disclosed (i) to its Affiliates and to its Related Parties (it being understood that the Persons to whom such disclosure is made will be informed of the confidential nature of such Information and instructed to keep such Information confidential); (ii) to the extent required or requested by any regulatory authority purporting to have jurisdiction over such Person or its Related Parties (including any self-regulatory authority, such as the National Association of Insurance Commissioners); (iii) to the extent required by applicable Laws or regulations or by any subpoena or similar legal process; (iv) to any other party hereto; (v) in connection with the exercise of any remedies hereunder or under any other Transaction Document or any action or proceeding relating to this Agreement or any other Transaction Document or the enforcement of rights hereunder or thereunder; (vi) subject to an agreement containing provisions substantially the same as those of this Section, to (A) any assignee of or Participant in, or any prospective assignee of or Participant in, any of its rights and obligations under this Agreement, or (B) any actual or prospective party (or its Related Parties) to any swap, derivative or other transaction under which payments are to be made by reference to the Borrower and its obligations, this Agreement or payments hereunder; (vii) to (A) any rating agency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connection with rating the Borrower or its Subsidiaries or the Credit Extensions or (B) the CUSIP Service Bureau or any similar agency in connection with the issuance and monitoring of CUSIP numbers with respect to the transactions contemplated hereby; (viii) with the consent of the Borrower; or (ix) to the extent such Information (A) becomes publicly available other than as a result of a breach of this </w:t>
      </w:r>
      <w:r>
        <w:rPr>
          <w:rFonts w:ascii="Times New Roman" w:hAnsi="Times New Roman"/>
          <w:sz w:val="20"/>
          <w:u w:val="single"/>
        </w:rPr>
        <w:t>clause (a)</w:t>
      </w:r>
      <w:r>
        <w:rPr>
          <w:rFonts w:ascii="Times New Roman" w:hAnsi="Times New Roman"/>
          <w:sz w:val="20"/>
        </w:rPr>
        <w:t xml:space="preserve">, or (B) becomes available to the Administrative Agent, any other Credit Party or any of their respective Affiliates on a nonconfidential basis from a source other than the Borrower. In addition, the Administrative Agent and the other Credit Parties may disclose the existence of this Agreement and information about this Agreement to market data collectors, similar service providers to the lending industry and service providers to the Credit Parties in connection with the administration of this Agreement, the other Transaction Documents and the Commitments. </w:t>
      </w:r>
    </w:p>
    <w:p>
      <w:pPr>
        <w:pStyle w:val="TextBody"/>
        <w:bidi w:val="0"/>
        <w:spacing w:before="240" w:after="0"/>
        <w:jc w:val="left"/>
        <w:rPr>
          <w:rFonts w:ascii="Times New Roman" w:hAnsi="Times New Roman"/>
          <w:sz w:val="20"/>
        </w:rPr>
      </w:pPr>
      <w:r>
        <w:rPr>
          <w:rFonts w:ascii="Times New Roman" w:hAnsi="Times New Roman"/>
          <w:sz w:val="20"/>
        </w:rPr>
        <w:t>For purposes of this Section, “</w:t>
      </w:r>
      <w:r>
        <w:rPr>
          <w:rFonts w:ascii="Times New Roman" w:hAnsi="Times New Roman"/>
          <w:sz w:val="20"/>
          <w:u w:val="single"/>
        </w:rPr>
        <w:t>Information</w:t>
      </w:r>
      <w:r>
        <w:rPr>
          <w:rFonts w:ascii="Times New Roman" w:hAnsi="Times New Roman"/>
          <w:sz w:val="20"/>
        </w:rPr>
        <w:t xml:space="preserve">” means all information received from the Borrower-Related Parties or any of their Subsidiaries relating to the Borrower-Related Parties or any of their Subsidiaries or any of their respective businesses, other than any such information that is available to the Administrative Agent or any other Credit Party on a nonconfidential basis prior to disclosure by the Borrower-Related Parties or any of their Subsidiaries; </w:t>
      </w:r>
      <w:r>
        <w:rPr>
          <w:rFonts w:ascii="Times New Roman" w:hAnsi="Times New Roman"/>
          <w:sz w:val="20"/>
          <w:u w:val="single"/>
        </w:rPr>
        <w:t>provided</w:t>
      </w:r>
      <w:r>
        <w:rPr>
          <w:rFonts w:ascii="Times New Roman" w:hAnsi="Times New Roman"/>
          <w:sz w:val="20"/>
        </w:rPr>
        <w:t xml:space="preserve"> that, in the case of information received from the Borrower-Related Parties or any of their Subsidiaries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For the avoidance of doubt, nothing in this Section shall prohibit any Person from voluntarily communicating, disclosing or providing information within the scope of the confidentiality provisions of this Section regarding suspected violations of laws, rules, or regulations to a governmental, regulatory or self-regulatory organization without any notification to any Person.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u w:val="single"/>
        </w:rPr>
        <w:t>Sharing Information With Affiliates of the Lenders</w:t>
      </w:r>
      <w:r>
        <w:rPr>
          <w:rFonts w:ascii="Times New Roman" w:hAnsi="Times New Roman"/>
          <w:sz w:val="20"/>
        </w:rPr>
        <w:t xml:space="preserve">. Each Borrower-Related Party acknowledges that from time to time financial advisory, investment banking and other services may be offered or provided to the Borrower or one or more of its Affiliates (in connection with this Agreement or otherwise) by any Lender or by one or more Subsidiaries or Affiliates of such Lender and each of the Borrower-Related Parties hereby authorizes each Lender to share any information delivered to such Lender by such Borrower-Related Party and its Subsidiaries pursuant to this Agreement with any such Subsidiary or Affiliate of the Lender subject to the provisions of </w:t>
      </w:r>
      <w:r>
        <w:rPr>
          <w:rFonts w:ascii="Times New Roman" w:hAnsi="Times New Roman"/>
          <w:sz w:val="20"/>
          <w:u w:val="single"/>
        </w:rPr>
        <w:t>Section 12.08(a)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u w:val="single"/>
        </w:rPr>
        <w:t>By Borrower and Servicer</w:t>
      </w:r>
      <w:r>
        <w:rPr>
          <w:rFonts w:ascii="Times New Roman" w:hAnsi="Times New Roman"/>
          <w:sz w:val="20"/>
        </w:rPr>
        <w:t xml:space="preserve">. Each of the Borrower and each Servicer covenants and agrees to hold in confidence, and not disclose to any Person, the terms of this Agreement or the Fee Letter (including any fees payable in connection with this Agreement, the Fee Letter or any other Transaction Document or the identity of the Administrative Agent or any other Credit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it may disclose such information (i) to its Affiliates and to its Related Parties (it being understood that the Persons to whom such disclosure is made will be informed of the confidential nature of such information and instructed to keep such information confidential); (ii) to the extent required or requested by any regulatory authority purporting to have jurisdiction over such Person or its Related Parties; (iii) to the extent required by applicable Laws or regulations or by any subpoena or similar legal process; (iv) to any other party hereto; (v) with the consent of the Administrative Agent and each Lender; or (vi) to the extent such information becomes publicly available other than as a result of a breach of this </w:t>
      </w:r>
      <w:r>
        <w:rPr>
          <w:rFonts w:ascii="Times New Roman" w:hAnsi="Times New Roman"/>
          <w:sz w:val="20"/>
          <w:u w:val="single"/>
        </w:rPr>
        <w:t>clause (c)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12.09 </w:t>
      </w:r>
      <w:r>
        <w:rPr>
          <w:rFonts w:ascii="Times New Roman" w:hAnsi="Times New Roman"/>
          <w:b/>
          <w:sz w:val="20"/>
          <w:u w:val="single"/>
        </w:rPr>
        <w:t>Counterparts; Integration; Effectiveness; Electronic 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u w:val="single"/>
        </w:rPr>
        <w:t>Counterparts; Integration; Effectiveness</w:t>
      </w:r>
      <w:r>
        <w:rPr>
          <w:rFonts w:ascii="Times New Roman" w:hAnsi="Times New Roman"/>
          <w:sz w:val="20"/>
        </w:rPr>
        <w:t xml:space="preserve">. This Agreement may be executed in counterparts (and by different parties hereto in different counterparts), each of which shall constitute an original, but all of which when taken together shall constitute a single contract. This Agreement and the other Transaction Documents constitute the entire contract among the parties relating to the subject matter hereof and supersede any and all previous agreements and understandings, oral or written, relating to the subject matter hereof, including any prior confidentiality agreements and commitments. Except as provided in </w:t>
      </w:r>
      <w:r>
        <w:rPr>
          <w:rFonts w:ascii="Times New Roman" w:hAnsi="Times New Roman"/>
          <w:sz w:val="20"/>
          <w:u w:val="single"/>
        </w:rPr>
        <w:t>Article V</w:t>
      </w:r>
      <w:r>
        <w:rPr>
          <w:rFonts w:ascii="Times New Roman" w:hAnsi="Times New Roman"/>
          <w:sz w:val="20"/>
        </w:rPr>
        <w:t xml:space="preserve">,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or e-mail shall be effective as delivery of a manually executed counterpart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u w:val="single"/>
        </w:rPr>
        <w:t>Electronic Execution of Assignments</w:t>
      </w:r>
      <w:r>
        <w:rPr>
          <w:rFonts w:ascii="Times New Roman" w:hAnsi="Times New Roman"/>
          <w:sz w:val="20"/>
        </w:rPr>
        <w:t xml:space="preserve">. The words “execution,” “signed,” “signature,” and words of like import in any Transaction Document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p>
    <w:p>
      <w:pPr>
        <w:pStyle w:val="TextBody"/>
        <w:bidi w:val="0"/>
        <w:spacing w:before="240" w:after="0"/>
        <w:jc w:val="left"/>
        <w:rPr>
          <w:rFonts w:ascii="Times New Roman" w:hAnsi="Times New Roman"/>
          <w:sz w:val="20"/>
        </w:rPr>
      </w:pPr>
      <w:r>
        <w:rPr>
          <w:rFonts w:ascii="Times New Roman" w:hAnsi="Times New Roman"/>
          <w:sz w:val="20"/>
        </w:rPr>
        <w:t xml:space="preserve">SECTION 12.10 </w:t>
      </w:r>
      <w:r>
        <w:rPr>
          <w:rFonts w:ascii="Times New Roman" w:hAnsi="Times New Roman"/>
          <w:b/>
          <w:sz w:val="20"/>
          <w:u w:val="single"/>
        </w:rPr>
        <w:t>CHOICE OF LAW; SUBMISSION TO JURISDICTION; WAIVER OF VENUE; SERVICE OF PROCESS; WAIVER OF JURY TRIAL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u w:val="single"/>
        </w:rPr>
        <w:t>Governing Law</w:t>
      </w:r>
      <w:r>
        <w:rPr>
          <w:rFonts w:ascii="Times New Roman" w:hAnsi="Times New Roman"/>
          <w:sz w:val="20"/>
        </w:rPr>
        <w:t xml:space="preserve">. This Agreement and the other Transaction Documents and any claims, controversy, dispute or cause of action (whether in contract or tort or otherwise) based upon, arising out of or relating to this Agreement or any other Transaction Document (except, as to any other Transaction Document, as expressly specified therein) and the transactions contemplated hereby and thereby shall be governed by, and construed in accordance with, the Law of the State of New York. </w:t>
      </w:r>
    </w:p>
    <w:p>
      <w:pPr>
        <w:pStyle w:val="TextBody"/>
        <w:bidi w:val="0"/>
        <w:spacing w:before="120" w:after="0"/>
        <w:jc w:val="left"/>
        <w:rPr>
          <w:rFonts w:ascii="Times New Roman" w:hAnsi="Times New Roman"/>
          <w:sz w:val="20"/>
        </w:rPr>
      </w:pPr>
      <w:r>
        <w:rPr>
          <w:rFonts w:ascii="Times New Roman" w:hAnsi="Times New Roman"/>
          <w:sz w:val="20"/>
        </w:rPr>
        <w:t xml:space="preserve">The Borrower, each Servicer and each other Borrower-Related Party irrevocably and unconditionally agrees that it will not commence any action, litigation or proceeding of any kind or description, whether in law or equity, whether in contract or in tort or otherwise, against the Administrative Agent, any Lender or any Related Party of the foregoing in any way relating to this Agreement or any other Transaction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Transaction Document shall affect any right that the Administrative Agent or any Lender may otherwise have to bring any action or proceeding relating to this Agreement or any other Transaction Document against the Borrower, each Servicer or any other Borrower-Related Party or its properties in the courts of any jurisdiction.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u w:val="single"/>
        </w:rPr>
        <w:t>Waiver of Venue</w:t>
      </w:r>
      <w:r>
        <w:rPr>
          <w:rFonts w:ascii="Times New Roman" w:hAnsi="Times New Roman"/>
          <w:sz w:val="20"/>
        </w:rPr>
        <w:t xml:space="preserve">. The Borrower, each Servicer and each other Borrower-Related Party irrevocably and unconditionally waives, to the fullest extent permitted by applicable Law, any objection that it may now or hereafter have to the laying of venue of any action or proceeding arising out of or relating to this Agreement or any other Transaction Document in any court referred to in </w:t>
      </w:r>
      <w:r>
        <w:rPr>
          <w:rFonts w:ascii="Times New Roman" w:hAnsi="Times New Roman"/>
          <w:sz w:val="20"/>
          <w:u w:val="single"/>
        </w:rPr>
        <w:t>paragraph (a)</w:t>
      </w:r>
      <w:r>
        <w:rPr>
          <w:rFonts w:ascii="Times New Roman" w:hAnsi="Times New Roman"/>
          <w:sz w:val="20"/>
        </w:rPr>
        <w:t xml:space="preserve"> of this Section. Each of the parties hereto hereby irrevocably waives, to the fullest extent permitted by applicable Law, the defense of an inconvenient forum to the maintenance of such action or proceeding in any such court.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u w:val="single"/>
        </w:rPr>
        <w:t>Service of Process</w:t>
      </w:r>
      <w:r>
        <w:rPr>
          <w:rFonts w:ascii="Times New Roman" w:hAnsi="Times New Roman"/>
          <w:sz w:val="20"/>
        </w:rPr>
        <w:t xml:space="preserve">. Each party hereto irrevocably consents to service of process in the manner provided for notices in </w:t>
      </w:r>
      <w:r>
        <w:rPr>
          <w:rFonts w:ascii="Times New Roman" w:hAnsi="Times New Roman"/>
          <w:sz w:val="20"/>
          <w:u w:val="single"/>
        </w:rPr>
        <w:t>Section 12.03</w:t>
      </w:r>
      <w:r>
        <w:rPr>
          <w:rFonts w:ascii="Times New Roman" w:hAnsi="Times New Roman"/>
          <w:sz w:val="20"/>
        </w:rPr>
        <w:t xml:space="preserve">. Nothing in this Agreement will affect the right of any party hereto to serve process in any other manner permitted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sz w:val="20"/>
          <w:u w:val="single"/>
        </w:rPr>
        <w:t>WAIVER OF JURY TRIAL</w:t>
      </w:r>
      <w:r>
        <w:rPr>
          <w:rFonts w:ascii="Times New Roman" w:hAnsi="Times New Roman"/>
          <w:sz w:val="20"/>
        </w:rPr>
        <w:t xml:space="preserve">. EACH PARTY HERETO HEREBY IRREVOCABLY WAIVES, TO THE FULLEST EXTENT PERMITTED BY APPLICABLE LAW, ANY RIGHT IT MAY HAVE TO A TRIAL BY JURY IN ANY LEGAL PROCEEDING DIRECTLY OR INDIRECTLY ARISING OUT OF OR RELATING TO THIS AGREEMENT OR ANY OTHER TRANSACTION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TRANSACTION DOCUMENTS BY, AMONG OTHER THINGS, THE MUTUAL WAIVERS AND CERTIFICATIONS IN THIS SECTION. </w:t>
      </w:r>
    </w:p>
    <w:p>
      <w:pPr>
        <w:pStyle w:val="TextBody"/>
        <w:bidi w:val="0"/>
        <w:spacing w:before="240" w:after="0"/>
        <w:jc w:val="left"/>
        <w:rPr>
          <w:rFonts w:ascii="Times New Roman" w:hAnsi="Times New Roman"/>
          <w:sz w:val="20"/>
        </w:rPr>
      </w:pPr>
      <w:r>
        <w:rPr>
          <w:rFonts w:ascii="Times New Roman" w:hAnsi="Times New Roman"/>
          <w:sz w:val="20"/>
        </w:rPr>
        <w:t xml:space="preserve">SECTION 12.11 </w:t>
      </w:r>
      <w:r>
        <w:rPr>
          <w:rFonts w:ascii="Times New Roman" w:hAnsi="Times New Roman"/>
          <w:b/>
          <w:sz w:val="20"/>
          <w:u w:val="single"/>
        </w:rPr>
        <w:t>Intent of the Parties</w:t>
      </w:r>
      <w:r>
        <w:rPr>
          <w:rFonts w:ascii="Times New Roman" w:hAnsi="Times New Roman"/>
          <w:sz w:val="20"/>
        </w:rPr>
        <w:t>. The Borrower has structured this Agreement with the intention that the Loans and the obligations of the Borrower hereunder will be treated under United States federal, and applicable state, local and foreign tax law as debt (the “</w:t>
      </w:r>
      <w:r>
        <w:rPr>
          <w:rFonts w:ascii="Times New Roman" w:hAnsi="Times New Roman"/>
          <w:sz w:val="20"/>
          <w:u w:val="single"/>
        </w:rPr>
        <w:t>Intended Tax Treatment</w:t>
      </w:r>
      <w:r>
        <w:rPr>
          <w:rFonts w:ascii="Times New Roman" w:hAnsi="Times New Roman"/>
          <w:sz w:val="20"/>
        </w:rPr>
        <w:t xml:space="preserve">”). The Borrower, the Servicers, the Administrative Agent and the other Credit Parties agree to file no tax return, or take any action, inconsistent with the Intended Tax Treatment unless required by law. Each assignee and each Participant acquiring an interest in a Credit Extension, by its acceptance of such assignment or participation, agrees to comply with the immediately preceding sentence.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12.12 </w:t>
      </w:r>
      <w:r>
        <w:rPr>
          <w:rFonts w:ascii="Times New Roman" w:hAnsi="Times New Roman"/>
          <w:b/>
          <w:sz w:val="20"/>
          <w:u w:val="single"/>
        </w:rPr>
        <w:t>Mutual Negotiations</w:t>
      </w:r>
      <w:r>
        <w:rPr>
          <w:rFonts w:ascii="Times New Roman" w:hAnsi="Times New Roman"/>
          <w:sz w:val="20"/>
        </w:rPr>
        <w:t xml:space="preserve">. This Agreement and the other Transaction Documents are the product of mutual negotiations by the parties thereto and their counsel, and no party shall be deemed the draftsperson of this Agreement or any other Transaction Document or any provision hereof or thereof or to have provided the same. Accordingly, in the event of any inconsistency or ambiguity of any provision of this Agreement or any other Transaction Document, such inconsistency or ambiguity shall not be interpreted against any party because of such party’s involvement in the drafting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12.13 </w:t>
      </w:r>
      <w:r>
        <w:rPr>
          <w:rFonts w:ascii="Times New Roman" w:hAnsi="Times New Roman"/>
          <w:b/>
          <w:sz w:val="20"/>
          <w:u w:val="single"/>
        </w:rPr>
        <w:t>Acknowledgement and Consent to Bail-In of Affected Financial Institutions</w:t>
      </w:r>
      <w:r>
        <w:rPr>
          <w:rFonts w:ascii="Times New Roman" w:hAnsi="Times New Roman"/>
          <w:sz w:val="20"/>
        </w:rPr>
        <w:t xml:space="preserve">. Notwithstanding anything to the contrary in any Transaction Document or in any other agreement, arrangement or understanding among any such parties, each party hereto acknowledges that any liability of any Affected Financial Institution arising under any Transaction Document, to the extent such liability is unsecured, may be subject to the Write-Down and Conversion Powers of the applicable Resolution Authority and agrees and consents to, and acknowledges and agrees to be bound by: </w:t>
      </w:r>
    </w:p>
    <w:p>
      <w:pPr>
        <w:pStyle w:val="TextBody"/>
        <w:bidi w:val="0"/>
        <w:spacing w:before="120" w:after="0"/>
        <w:jc w:val="left"/>
        <w:rPr>
          <w:rFonts w:ascii="Times New Roman" w:hAnsi="Times New Roman"/>
          <w:sz w:val="20"/>
        </w:rPr>
      </w:pPr>
      <w:r>
        <w:rPr>
          <w:rFonts w:ascii="Times New Roman" w:hAnsi="Times New Roman"/>
          <w:sz w:val="20"/>
        </w:rPr>
        <w:t xml:space="preserve">(a) the application of any Write-Down and Conversion Powers by the applicable Resolution Authority to any such liabilities arising hereunder which may be payable to it by any party hereto that is an Affected Financial Institution; and </w:t>
      </w:r>
    </w:p>
    <w:p>
      <w:pPr>
        <w:pStyle w:val="TextBody"/>
        <w:bidi w:val="0"/>
        <w:spacing w:before="120" w:after="0"/>
        <w:jc w:val="left"/>
        <w:rPr>
          <w:rFonts w:ascii="Times New Roman" w:hAnsi="Times New Roman"/>
          <w:sz w:val="20"/>
        </w:rPr>
      </w:pPr>
      <w:r>
        <w:rPr>
          <w:rFonts w:ascii="Times New Roman" w:hAnsi="Times New Roman"/>
          <w:sz w:val="20"/>
        </w:rPr>
        <w:t xml:space="preserve">(b) the effects of any Bail-In Action on any such liability, including, if applicable: </w:t>
      </w:r>
    </w:p>
    <w:p>
      <w:pPr>
        <w:pStyle w:val="TextBody"/>
        <w:bidi w:val="0"/>
        <w:spacing w:before="120" w:after="0"/>
        <w:jc w:val="left"/>
        <w:rPr>
          <w:rFonts w:ascii="Times New Roman" w:hAnsi="Times New Roman"/>
          <w:sz w:val="20"/>
        </w:rPr>
      </w:pPr>
      <w:r>
        <w:rPr>
          <w:rFonts w:ascii="Times New Roman" w:hAnsi="Times New Roman"/>
          <w:sz w:val="20"/>
        </w:rPr>
        <w:t xml:space="preserve">(i) a reduction in full or in part or cancellation of any such liability; </w:t>
      </w:r>
    </w:p>
    <w:p>
      <w:pPr>
        <w:pStyle w:val="TextBody"/>
        <w:bidi w:val="0"/>
        <w:spacing w:before="120" w:after="0"/>
        <w:jc w:val="left"/>
        <w:rPr>
          <w:rFonts w:ascii="Times New Roman" w:hAnsi="Times New Roman"/>
          <w:sz w:val="20"/>
        </w:rPr>
      </w:pPr>
      <w:r>
        <w:rPr>
          <w:rFonts w:ascii="Times New Roman" w:hAnsi="Times New Roman"/>
          <w:sz w:val="20"/>
        </w:rPr>
        <w:t xml:space="preserve">(ii)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Transaction Document; or </w:t>
      </w:r>
    </w:p>
    <w:p>
      <w:pPr>
        <w:pStyle w:val="TextBody"/>
        <w:bidi w:val="0"/>
        <w:spacing w:before="120" w:after="0"/>
        <w:jc w:val="left"/>
        <w:rPr>
          <w:rFonts w:ascii="Times New Roman" w:hAnsi="Times New Roman"/>
          <w:sz w:val="20"/>
        </w:rPr>
      </w:pPr>
      <w:r>
        <w:rPr>
          <w:rFonts w:ascii="Times New Roman" w:hAnsi="Times New Roman"/>
          <w:sz w:val="20"/>
        </w:rPr>
        <w:t xml:space="preserve">(iii) the variation of the terms of such liability in connection with the exercise of the Write-Down and Conversion powers of the applicable Resolution Authority. </w:t>
      </w:r>
    </w:p>
    <w:p>
      <w:pPr>
        <w:pStyle w:val="TextBody"/>
        <w:bidi w:val="0"/>
        <w:spacing w:before="240" w:after="0"/>
        <w:jc w:val="left"/>
        <w:rPr>
          <w:rFonts w:ascii="Times New Roman" w:hAnsi="Times New Roman"/>
          <w:sz w:val="20"/>
        </w:rPr>
      </w:pPr>
      <w:r>
        <w:rPr>
          <w:rFonts w:ascii="Times New Roman" w:hAnsi="Times New Roman"/>
          <w:sz w:val="20"/>
        </w:rPr>
        <w:t xml:space="preserve">SECTION 12.14 </w:t>
      </w:r>
      <w:r>
        <w:rPr>
          <w:rFonts w:ascii="Times New Roman" w:hAnsi="Times New Roman"/>
          <w:b/>
          <w:sz w:val="20"/>
          <w:u w:val="single"/>
        </w:rPr>
        <w:t>USA PATRIOT Act Notice</w:t>
      </w:r>
      <w:r>
        <w:rPr>
          <w:rFonts w:ascii="Times New Roman" w:hAnsi="Times New Roman"/>
          <w:sz w:val="20"/>
        </w:rPr>
        <w:t xml:space="preserve">. Each Lender that is subject to the USA PATRIOT Act and the Administrative Agent (for itself and not on behalf of any Lender) hereby notifies Borrower-Related Parties that pursuant to the requirements of the USA PATRIOT Act, it is required to obtain, verify and record information that identifies the Borrower-Related Parties, which information includes the name and address of Borrower-Related Parties and other information that will allow such Lender or Administrative Agent, as applicable, to identify the Borrower-Related Parties in accordance with the USA PATRIOT Act. The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USA PATRIOT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12.15 </w:t>
      </w:r>
      <w:r>
        <w:rPr>
          <w:rFonts w:ascii="Times New Roman" w:hAnsi="Times New Roman"/>
          <w:b/>
          <w:sz w:val="20"/>
          <w:u w:val="single"/>
        </w:rPr>
        <w:t>Acknowledgement Regarding Any Supported QFCs</w:t>
      </w:r>
      <w:r>
        <w:rPr>
          <w:rFonts w:ascii="Times New Roman" w:hAnsi="Times New Roman"/>
          <w:sz w:val="20"/>
        </w:rPr>
        <w:t>. To the extent that the Transaction Documents provide support, through a guarantee or otherwise, for any agreement or instrument that is a QFC (such support, “</w:t>
      </w:r>
      <w:r>
        <w:rPr>
          <w:rFonts w:ascii="Times New Roman" w:hAnsi="Times New Roman"/>
          <w:sz w:val="20"/>
          <w:u w:val="single"/>
        </w:rPr>
        <w:t>QFC Credit Support</w:t>
      </w:r>
      <w:r>
        <w:rPr>
          <w:rFonts w:ascii="Times New Roman" w:hAnsi="Times New Roman"/>
          <w:sz w:val="20"/>
        </w:rPr>
        <w:t>” and each such QFC a “</w:t>
      </w:r>
      <w:r>
        <w:rPr>
          <w:rFonts w:ascii="Times New Roman" w:hAnsi="Times New Roman"/>
          <w:sz w:val="20"/>
          <w:u w:val="single"/>
        </w:rPr>
        <w:t>Supported QFC</w:t>
      </w:r>
      <w:r>
        <w:rPr>
          <w:rFonts w:ascii="Times New Roman" w:hAnsi="Times New Roman"/>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sz w:val="20"/>
          <w:u w:val="single"/>
        </w:rPr>
        <w:t>U.S. Special Resolution Regimes</w:t>
      </w:r>
      <w:r>
        <w:rPr>
          <w:rFonts w:ascii="Times New Roman" w:hAnsi="Times New Roman"/>
          <w:sz w:val="20"/>
        </w:rPr>
        <w:t xml:space="preserve">”) in respect of such Supported QFC and QFC Credit Support (with the provisions below applicable notwithstanding that the Transaction Documents and any Supported QFC may in fact be stated to be governed by the Laws of the State of New York and/or of the United States or any other state of the United States): </w:t>
      </w:r>
    </w:p>
    <w:p>
      <w:pPr>
        <w:pStyle w:val="TextBody"/>
        <w:bidi w:val="0"/>
        <w:spacing w:before="120" w:after="0"/>
        <w:jc w:val="left"/>
        <w:rPr>
          <w:rFonts w:ascii="Times New Roman" w:hAnsi="Times New Roman"/>
          <w:sz w:val="20"/>
        </w:rPr>
      </w:pPr>
      <w:r>
        <w:rPr>
          <w:rFonts w:ascii="Times New Roman" w:hAnsi="Times New Roman"/>
          <w:sz w:val="20"/>
        </w:rPr>
        <w:t>(a) In the event a Covered Entity that is party to a Supported QFC (each, a “</w:t>
      </w:r>
      <w:r>
        <w:rPr>
          <w:rFonts w:ascii="Times New Roman" w:hAnsi="Times New Roman"/>
          <w:sz w:val="20"/>
          <w:u w:val="single"/>
        </w:rPr>
        <w:t>Covered Party</w:t>
      </w:r>
      <w:r>
        <w:rPr>
          <w:rFonts w:ascii="Times New Roman" w:hAnsi="Times New Roman"/>
          <w:sz w:val="20"/>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Transaction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Transaction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w:t>
      </w:r>
    </w:p>
    <w:p>
      <w:pPr>
        <w:pStyle w:val="TextBody"/>
        <w:bidi w:val="0"/>
        <w:spacing w:before="120" w:after="0"/>
        <w:jc w:val="left"/>
        <w:rPr>
          <w:rFonts w:ascii="Times New Roman" w:hAnsi="Times New Roman"/>
          <w:sz w:val="20"/>
        </w:rPr>
      </w:pPr>
      <w:r>
        <w:rPr>
          <w:rFonts w:ascii="Times New Roman" w:hAnsi="Times New Roman"/>
          <w:sz w:val="20"/>
        </w:rPr>
        <w:t xml:space="preserve">(b) As used in this Section, the following terms have the following meanings: </w:t>
      </w:r>
    </w:p>
    <w:p>
      <w:pPr>
        <w:pStyle w:val="TextBody"/>
        <w:bidi w:val="0"/>
        <w:spacing w:before="120" w:after="0"/>
        <w:jc w:val="left"/>
        <w:rPr/>
      </w:pPr>
      <w:r>
        <w:rPr/>
        <w:t>“</w:t>
      </w:r>
      <w:r>
        <w:rPr>
          <w:rFonts w:ascii="Times New Roman" w:hAnsi="Times New Roman"/>
          <w:sz w:val="20"/>
          <w:u w:val="single"/>
        </w:rPr>
        <w:t>BHC Act Affiliate</w:t>
      </w:r>
      <w:r>
        <w:rPr>
          <w:rFonts w:ascii="Times New Roman" w:hAnsi="Times New Roman"/>
          <w:sz w:val="20"/>
        </w:rPr>
        <w:t xml:space="preserve">” of a party means an “affiliate” (as such term is defined under, and interpreted in accordance with, 12 U.S.C. 1841(k)) of such party. </w:t>
      </w:r>
    </w:p>
    <w:p>
      <w:pPr>
        <w:pStyle w:val="TextBody"/>
        <w:bidi w:val="0"/>
        <w:spacing w:before="120" w:after="0"/>
        <w:jc w:val="left"/>
        <w:rPr/>
      </w:pPr>
      <w:r>
        <w:rPr/>
        <w:t>“</w:t>
      </w:r>
      <w:r>
        <w:rPr>
          <w:rFonts w:ascii="Times New Roman" w:hAnsi="Times New Roman"/>
          <w:sz w:val="20"/>
          <w:u w:val="single"/>
        </w:rPr>
        <w:t>Covered Entity</w:t>
      </w:r>
      <w:r>
        <w:rPr>
          <w:rFonts w:ascii="Times New Roman" w:hAnsi="Times New Roman"/>
          <w:sz w:val="20"/>
        </w:rPr>
        <w:t xml:space="preserve">”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p>
    <w:p>
      <w:pPr>
        <w:pStyle w:val="TextBody"/>
        <w:bidi w:val="0"/>
        <w:spacing w:before="120" w:after="0"/>
        <w:jc w:val="left"/>
        <w:rPr/>
      </w:pPr>
      <w:r>
        <w:rPr/>
        <w:t>“</w:t>
      </w:r>
      <w:r>
        <w:rPr>
          <w:rFonts w:ascii="Times New Roman" w:hAnsi="Times New Roman"/>
          <w:sz w:val="20"/>
          <w:u w:val="single"/>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120" w:after="0"/>
        <w:jc w:val="left"/>
        <w:rPr/>
      </w:pPr>
      <w:r>
        <w:rPr/>
        <w:t>“</w:t>
      </w:r>
      <w:r>
        <w:rPr>
          <w:rFonts w:ascii="Times New Roman" w:hAnsi="Times New Roman"/>
          <w:sz w:val="20"/>
          <w:u w:val="single"/>
        </w:rPr>
        <w:t>QFC</w:t>
      </w:r>
      <w:r>
        <w:rPr>
          <w:rFonts w:ascii="Times New Roman" w:hAnsi="Times New Roman"/>
          <w:sz w:val="20"/>
        </w:rPr>
        <w:t xml:space="preserve">” has the meaning assigned to the term “qualified financial contract” in, and shall be interpreted in accordance with, 12 U.S.C. 5390(c)(8)(D).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XIII </w:t>
      </w:r>
    </w:p>
    <w:p>
      <w:pPr>
        <w:pStyle w:val="TextBody"/>
        <w:bidi w:val="0"/>
        <w:spacing w:before="0" w:after="0"/>
        <w:jc w:val="center"/>
        <w:rPr>
          <w:rFonts w:ascii="Times New Roman" w:hAnsi="Times New Roman"/>
          <w:b/>
          <w:sz w:val="20"/>
        </w:rPr>
      </w:pPr>
      <w:r>
        <w:rPr>
          <w:rFonts w:ascii="Times New Roman" w:hAnsi="Times New Roman"/>
          <w:b/>
          <w:sz w:val="20"/>
        </w:rPr>
        <w:t xml:space="preserve">LENDER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SECTION 13.01 </w:t>
      </w:r>
      <w:r>
        <w:rPr>
          <w:rFonts w:ascii="Times New Roman" w:hAnsi="Times New Roman"/>
          <w:b/>
          <w:sz w:val="20"/>
          <w:u w:val="single"/>
        </w:rPr>
        <w:t>Class A Lender Representative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Appointment and Authorization of Class A Lender Representative</w:t>
      </w:r>
      <w:r>
        <w:rPr>
          <w:rFonts w:ascii="Times New Roman" w:hAnsi="Times New Roman"/>
          <w:sz w:val="20"/>
        </w:rPr>
        <w:t>. Each Class A Lender hereby designates and appoints PNC as its agent under this Agreement (such agent in such capacity, the “</w:t>
      </w:r>
      <w:r>
        <w:rPr>
          <w:rFonts w:ascii="Times New Roman" w:hAnsi="Times New Roman"/>
          <w:sz w:val="20"/>
          <w:u w:val="single"/>
        </w:rPr>
        <w:t>Class A Lender Representative</w:t>
      </w:r>
      <w:r>
        <w:rPr>
          <w:rFonts w:ascii="Times New Roman" w:hAnsi="Times New Roman"/>
          <w:sz w:val="20"/>
        </w:rPr>
        <w:t xml:space="preserve">”) and each Class A Lender hereby irrevocably authorizes Class A Lender Representative to take such action on its behalf under the provisions of this Agreement and to exercise such powers and perform such duties as are expressly delegated to Class A Lender Representative by the terms of this Agreement, together with such powers as are reasonably incidental thereto. Class A Lender Representative agrees to act as agent for and on behalf of the Class A Lenders on the conditions contained in this </w:t>
      </w:r>
      <w:r>
        <w:rPr>
          <w:rFonts w:ascii="Times New Roman" w:hAnsi="Times New Roman"/>
          <w:sz w:val="20"/>
          <w:u w:val="single"/>
        </w:rPr>
        <w:t>Section 13.01</w:t>
      </w:r>
      <w:r>
        <w:rPr>
          <w:rFonts w:ascii="Times New Roman" w:hAnsi="Times New Roman"/>
          <w:sz w:val="20"/>
        </w:rPr>
        <w:t xml:space="preserve">. Any provision to the contrary contained elsewhere in this Agreement, Class A Lender Representative shall not have any duties or responsibilities, except those expressly set forth herein, nor shall Class A Lender Representative have or be deemed to have any fiduciary relationship with any Class A Lender, and no implied covenants, functions, responsibilities, duties, obligations or liabilities shall be read into this Agreement or otherwise exist against Class A Lender Representative. Without limiting the generality of the foregoing, the use of the term “agent” in this Agreement with reference to Class A Lender Representative is not intended to connote any fiduciary or other implied (or express) obligations arising under agency doctrine of any applicable law. Instead, such term is used merely as a matter of market custom, and is intended to create or reflect only a representative relationship between independent contracting parties. Except as expressly otherwise provided in this Agreement, Class A Lender Representative shall have and may use its sole discretion with respect to exercising or refraining from exercising any discretionary rights or taking or refraining from taking any actions that Class A Lender Representative expressly is entitled to take or assert under or pursuant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Delegation of Duties</w:t>
      </w:r>
      <w:r>
        <w:rPr>
          <w:rFonts w:ascii="Times New Roman" w:hAnsi="Times New Roman"/>
          <w:sz w:val="20"/>
        </w:rPr>
        <w:t xml:space="preserve">. Class A Lender Representative may execute any of its duties under this Agreement by or through agents, employees or attorneys in fact and shall be entitled to advice of counsel concerning all matters pertaining to such duties. Class A Lender Representative shall not be responsible for the negligence or misconduct of any agent or attorney in fact that it selects as long as such selection was made without gross negligence or willful misconduct.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Liability of Class A Lender Representative</w:t>
      </w:r>
      <w:r>
        <w:rPr>
          <w:rFonts w:ascii="Times New Roman" w:hAnsi="Times New Roman"/>
          <w:sz w:val="20"/>
        </w:rPr>
        <w:t>. None of the Class A Lender Representative, its Affiliates, officers, directors, employees, attorneys, and agents (collectively, the “</w:t>
      </w:r>
      <w:r>
        <w:rPr>
          <w:rFonts w:ascii="Times New Roman" w:hAnsi="Times New Roman"/>
          <w:sz w:val="20"/>
          <w:u w:val="single"/>
        </w:rPr>
        <w:t>Class A Lender Representative-Related Persons</w:t>
      </w:r>
      <w:r>
        <w:rPr>
          <w:rFonts w:ascii="Times New Roman" w:hAnsi="Times New Roman"/>
          <w:sz w:val="20"/>
        </w:rPr>
        <w:t xml:space="preserve">”) shall (i) be liable for any action taken or omitted to be taken by any of them under or in connection with this Agreement or the transactions contemplated hereby (except for its own gross negligence or willful misconduct), or (ii) be responsible in any manner to any of the Class A Lenders for any recital, statement, representation or warranty made in any certificate, report, statement or other document referred to or provided for in, or received by Class A Lender Representative under or in connection with, this Agreement, or the validity, effectiveness, genuineness, enforceability or sufficiency of this Agreement. No Class A Lender Representative-Related Person shall be under any obligation to any Class A Lender to ascertain or to inquire as to the observance or performance of any of the agreements contained in or conditions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Reliance by Class A Lender Representative</w:t>
      </w:r>
      <w:r>
        <w:rPr>
          <w:rFonts w:ascii="Times New Roman" w:hAnsi="Times New Roman"/>
          <w:sz w:val="20"/>
        </w:rPr>
        <w:t xml:space="preserve">. Class A Lender Representative shall be entitled to rely, and shall be fully protected in relying, upon any writing, resolution, notice, consent, certificate, affidavit, letter, telegram, telefacsimile or other electronic method of transmission, telex or telephone message, statement or other document or conversation believed by it to be genuine and correct and to have been signed, sent, or made by the proper Person or Persons, and upon advice and statements of legal counsel (including counsel to any Class A Lender), independent accountants and other experts selected by Class A Lender Representative. Class A Lender Representative shall be fully justified in failing or refusing to take any action under this Agreement unless Class A Lender Representative shall first receive such advice or concurrence of the Class A Lenders as it deems appropriate and until such instructions are received, Class A Lender Representative shall act, or refrain from acting, as it deems advisable. If Class A Lender Representative so requests, it shall first be indemnified to its reasonable satisfaction by the Class A Lenders against any and all liability and expense that may be incurred by it by reason of taking or continuing to take any such action. Class A Lender Representative shall in all cases be fully protected in acting, or in refraining from acting, under this Agreement in accordance with a request or consent of the requisite Class A Lenders and such request and any action taken or failure to act pursuant thereto shall be binding upon all of the Class A Lenders.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Credit Decision</w:t>
      </w:r>
      <w:r>
        <w:rPr>
          <w:rFonts w:ascii="Times New Roman" w:hAnsi="Times New Roman"/>
          <w:sz w:val="20"/>
        </w:rPr>
        <w:t xml:space="preserve">. Each Class A Lender acknowledges that none of Class A Lender Representative-Related Persons has made any representation or warranty to it, and that no act by Class A Lender Representative hereinafter taken, including any review of the affairs of Borrower and its Affiliates, shall be deemed to constitute any representation or warranty by any Class A Lender Representative-Related Person to any Class A Lender. Each Class A Lender represents to Class A Lender Representative that it has, independently and without reliance upon any Class A Lender Representative-Related Person and based on such due diligence, documents and information as it has deemed appropriate, made its own appraisal of and investigation into the business, prospects, operations, property, financial and other condition and creditworthiness of Borrower or any other Person party to a Transaction Document, and all applicable bank regulatory laws relating to the transactions contemplated hereby, and made its own decision to enter into this Agreement. Each Class A Lender also represents that it will, independently and without reliance upon any Class A Lender Representative-Related Person and based on such documents and information as it shall deem appropriate at the time, continue to make its own decisions in taking or not taking action under this Agreement, and to make such investigations as it deems necessary to inform itself as to the business, prospects, operations, property, financial and other condition and creditworthiness of Borrower or any other Person party to a Transaction Document. Except for notices, reports, and other documents expressly herein required to be furnished to the Class A Lenders by Class A Lender Representative, Class A Lender Representative shall not have any duty or responsibility to provide any Class A Lender with any credit or other information concerning the business, prospects, operations, property, financial and other condition or creditworthiness of Borrower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Person party to a Transaction Document that may come into the possession of any of the Class A Lender Representative-Related Persons. Each Class A Lender acknowledges that Class A Lender Representative does not have any duty or responsibility, either initially or on a continuing basis (except to the extent, if any, that is expressly specified herein) to provide such Class A Lender with any credit or other information with respect to Borrower, its Affiliates or any of their respective business, legal, financial or other affairs, and irrespective of whether such information came into Class A Lender Representative’s or its Affiliates’ or representatives’ possession before or after the date on which such Class A Lender became a party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Costs and Expenses; Indemnification</w:t>
      </w:r>
      <w:r>
        <w:rPr>
          <w:rFonts w:ascii="Times New Roman" w:hAnsi="Times New Roman"/>
          <w:sz w:val="20"/>
        </w:rPr>
        <w:t>. Whether or not the transactions contemplated hereby are consummated, each of the Class A Lenders, on a ratable basis, shall indemnify and defend the Class A Lender Representative-Related Persons from and against any and all claims, demands, suits, actions, investigations, proceedings, liabilities, fines, costs, penalties, and damages, and all reasonable fees and disbursements of attorneys, experts, or consultants and all other costs and expenses actually incurred in connection therewith or in connection with the enforcement of this indemnification (as and when they are incurred and irrespective of whether suit is brought), at any time asserted against, imposed upon, or incurred by any of them (i) in connection with or as a result of or related to the execution and delivery, enforcement, performance, or administration (including any restructuring or workout with respect hereto) of this Agreement or the transactions contemplated hereby, and (ii) with respect to any investigation, litigation, or proceeding related to this Agreement or the use of the proceeds of the credit provided hereunder (irrespective of whether any Class A Lender Representative-Related Person is a party thereto), or any act, omission, event, or circumstance in any manner related thereto (each and all of the foregoing, the “</w:t>
      </w:r>
      <w:r>
        <w:rPr>
          <w:rFonts w:ascii="Times New Roman" w:hAnsi="Times New Roman"/>
          <w:sz w:val="20"/>
          <w:u w:val="single"/>
        </w:rPr>
        <w:t>Class A Lender Indemnified Liabilities</w:t>
      </w:r>
      <w:r>
        <w:rPr>
          <w:rFonts w:ascii="Times New Roman" w:hAnsi="Times New Roman"/>
          <w:sz w:val="20"/>
        </w:rPr>
        <w:t xml:space="preserve">”); provided, however, that no Class A Lender shall be liable for the payment to any Class A Lender Representative-Related Person of any portion of such Class A Lender Indemnified Liabilities resulting solely from such Person’s gross negligence or willful misconduct. Without limitation of the foregoing, each Class A Lender shall reimburse Class A Lender Representative upon demand for such Class A Lender’s ratable share of any costs or out of pocket expenses (including attorneys, accountants, advisors, and consultants fees and expenses) incurred by Class A Lender Representative in connection with the preparation, execution, delivery, administration, modification, amendment, or enforcement (whether through negotiations, legal proceedings or otherwise) of, or legal advice in respect of rights or responsibilities under this Agreement. The undertaking in this </w:t>
      </w:r>
      <w:r>
        <w:rPr>
          <w:rFonts w:ascii="Times New Roman" w:hAnsi="Times New Roman"/>
          <w:sz w:val="20"/>
          <w:u w:val="single"/>
        </w:rPr>
        <w:t>Section 13.01(f)</w:t>
      </w:r>
      <w:r>
        <w:rPr>
          <w:rFonts w:ascii="Times New Roman" w:hAnsi="Times New Roman"/>
          <w:sz w:val="20"/>
        </w:rPr>
        <w:t xml:space="preserve"> shall survive the payment of all Borrower Obligations under this Agreement and the resignation or replacement of Class A Lender Representative.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Successor Class A Lender Representative</w:t>
      </w:r>
      <w:r>
        <w:rPr>
          <w:rFonts w:ascii="Times New Roman" w:hAnsi="Times New Roman"/>
          <w:sz w:val="20"/>
        </w:rPr>
        <w:t xml:space="preserve">. Class A Lender Representative may resign as Class A Lender Representative upon 30 days prior written notice to the Class A Lenders (unless such notice is waived by the Required Class A Lenders). If Class A Lender Representative resigns under this Agreement, the Required Class A Lenders shall be entitled to appoint a successor Class A Lender Representative for the Class A Lenders. If no successor Class A Lender Representative is appointed prior to the effective date of the resignation of Class A Lender Representative, Class A Lender Representative may appoint, after consulting with the Class A Lenders, a successor Class A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Representative. If Class A Lender Representative has materially breached or failed to perform any material provision of this Agreement or of applicable law, the Required Class A Lenders may agree in writing to remove and replace Class A Lender Representative with a successor Class A Lender Representative from among the Class A Lenders. In any such event, upon the acceptance of its appointment as successor Class A Lender Representative hereunder, such successor Class A Lender Representative shall succeed to all the rights, powers, and duties of the retiring Class A Lender Representative and the term “</w:t>
      </w:r>
      <w:r>
        <w:rPr>
          <w:rFonts w:ascii="Times New Roman" w:hAnsi="Times New Roman"/>
          <w:sz w:val="20"/>
          <w:u w:val="single"/>
        </w:rPr>
        <w:t>Class A Lender Representative</w:t>
      </w:r>
      <w:r>
        <w:rPr>
          <w:rFonts w:ascii="Times New Roman" w:hAnsi="Times New Roman"/>
          <w:sz w:val="20"/>
        </w:rPr>
        <w:t xml:space="preserve">” shall mean such successor Class A Lender Representative and the retiring Class A Lender Representative’s appointment, powers, and duties as Class A Lender Representative shall be terminated. After any retiring Class A Lender Representative’s resignation hereunder as Class A Lender Representative, the provisions of this </w:t>
      </w:r>
      <w:r>
        <w:rPr>
          <w:rFonts w:ascii="Times New Roman" w:hAnsi="Times New Roman"/>
          <w:sz w:val="20"/>
          <w:u w:val="single"/>
        </w:rPr>
        <w:t>Section 13.01(g)</w:t>
      </w:r>
      <w:r>
        <w:rPr>
          <w:rFonts w:ascii="Times New Roman" w:hAnsi="Times New Roman"/>
          <w:sz w:val="20"/>
        </w:rPr>
        <w:t xml:space="preserve"> shall inure to its benefit as to any actions taken or omitted to be taken by it while it was Class A Lender Representative under this Agreement. If no successor Class A Lender Representative has accepted appointment as Class A Lender Representative by the date which is 30 days following a retiring Class A Lender Representative’s notice of resignation, the retiring Class A Lender Representative’s resignation shall nevertheless thereupon become effective and the Class A Lenders shall perform all of the duties of Class A Lender Representative hereunder until such time, if any, as the Class A Lenders appoint a successor Class A Lender Representative as provided for above.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Class A Lender Representative in Individual Capacity</w:t>
      </w:r>
      <w:r>
        <w:rPr>
          <w:rFonts w:ascii="Times New Roman" w:hAnsi="Times New Roman"/>
          <w:sz w:val="20"/>
        </w:rPr>
        <w:t xml:space="preserve">. PNC and its Affiliates may make loans to, issue letters of credit for the account of, accept deposits from, provide hedge products, to, acquire equity interests in, and generally engage in any kind of banking, trust, financial advisory, underwriting, or other business with any Borrower-Related Party and its Affiliates and any other Person party to any Transaction Document as though PNC were not Class A Lender Representative hereunder, and, in each case, without notice to or consent of the other Class A Lenders. The Class A Lenders acknowledge that, pursuant to such activities, PNC or its Affiliates may receive information regarding the Borrower-Related Parties or their Affiliates or any other Person party to any Transaction Documents that is subject to confidentiality obligations in favor of the Borrower-Related Parties or such other Person and that prohibit the disclosure of such information to the Class A Lenders, and the Class A Lenders acknowledge that, in such circumstances (and in the absence of a waiver of such confidentiality obligations), Class A Lender Representative shall not be under any obligation to provide such information to them. </w:t>
      </w:r>
    </w:p>
    <w:p>
      <w:pPr>
        <w:pStyle w:val="TextBody"/>
        <w:bidi w:val="0"/>
        <w:spacing w:before="240" w:after="0"/>
        <w:jc w:val="left"/>
        <w:rPr>
          <w:rFonts w:ascii="Times New Roman" w:hAnsi="Times New Roman"/>
          <w:sz w:val="20"/>
        </w:rPr>
      </w:pPr>
      <w:r>
        <w:rPr>
          <w:rFonts w:ascii="Times New Roman" w:hAnsi="Times New Roman"/>
          <w:sz w:val="20"/>
        </w:rPr>
        <w:t xml:space="preserve">SECTION 13.02 </w:t>
      </w:r>
      <w:r>
        <w:rPr>
          <w:rFonts w:ascii="Times New Roman" w:hAnsi="Times New Roman"/>
          <w:b/>
          <w:sz w:val="20"/>
          <w:u w:val="single"/>
        </w:rPr>
        <w:t>Class B Lender Representative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Appointment and Authorization of Class B Lender Representative</w:t>
      </w:r>
      <w:r>
        <w:rPr>
          <w:rFonts w:ascii="Times New Roman" w:hAnsi="Times New Roman"/>
          <w:sz w:val="20"/>
        </w:rPr>
        <w:t>. Each Class B Lender hereby designates and appoints Centerbridge Credit CS, L.P. as its agent under this Agreement (such agent in such capacity, the “</w:t>
      </w:r>
      <w:r>
        <w:rPr>
          <w:rFonts w:ascii="Times New Roman" w:hAnsi="Times New Roman"/>
          <w:sz w:val="20"/>
          <w:u w:val="single"/>
        </w:rPr>
        <w:t>Class B Lender Representative</w:t>
      </w:r>
      <w:r>
        <w:rPr>
          <w:rFonts w:ascii="Times New Roman" w:hAnsi="Times New Roman"/>
          <w:sz w:val="20"/>
        </w:rPr>
        <w:t xml:space="preserve">”) and each Class B Lender hereby irrevocably authorizes Class B Lender Representative to take such action on its behalf under the provisions of this Agreement and to exercise such powers and perform such duties as are expressly delegated to Class B Lender Representative by the terms of this Agreement, together with such powers as are reasonably incidental thereto. Class B Lender Representative agrees to act as agent for and on behalf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Class B Lenders on the conditions contained in this </w:t>
      </w:r>
      <w:r>
        <w:rPr>
          <w:rFonts w:ascii="Times New Roman" w:hAnsi="Times New Roman"/>
          <w:sz w:val="20"/>
          <w:u w:val="single"/>
        </w:rPr>
        <w:t>Section 13.02</w:t>
      </w:r>
      <w:r>
        <w:rPr>
          <w:rFonts w:ascii="Times New Roman" w:hAnsi="Times New Roman"/>
          <w:sz w:val="20"/>
        </w:rPr>
        <w:t xml:space="preserve">. Any provision to the contrary contained elsewhere in this Agreement, Class B Lender Representative shall not have any duties or responsibilities, except those expressly set forth herein, nor shall Class B Lender Representative have or be deemed to have any fiduciary relationship with any Class B Lender, and no implied covenants, functions, responsibilities, duties, obligations or liabilities shall be read into this Agreement or otherwise exist against Class B Lender Representative. Without limiting the generality of the foregoing, the use of the term “agent” in this Agreement with reference to Class B Lender Representative is not intended to connote any fiduciary or other implied (or express) obligations arising under agency doctrine of any applicable law. Instead, such term is used merely as a matter of market custom, and is intended to create or reflect only a representative relationship between independent contracting parties. Except as expressly otherwise provided in this Agreement, Class B Lender Representative shall have and may use its sole discretion with respect to exercising or refraining from exercising any discretionary rights or taking or refraining from taking any actions that Class B Lender Representative expressly is entitled to take or assert under or pursuant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Delegation of Duties</w:t>
      </w:r>
      <w:r>
        <w:rPr>
          <w:rFonts w:ascii="Times New Roman" w:hAnsi="Times New Roman"/>
          <w:sz w:val="20"/>
        </w:rPr>
        <w:t xml:space="preserve">. Class B Lender Representative may execute any of its duties under this Agreement by or through agents, employees or attorneys in fact and shall be entitled to advice of counsel concerning all matters pertaining to such duties. Class B Lender Representative shall not be responsible for the negligence or misconduct of any agent or attorney in fact that it selects as long as such selection was made without gross negligence or willful misconduct.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Liability of Class B Lender Representative</w:t>
      </w:r>
      <w:r>
        <w:rPr>
          <w:rFonts w:ascii="Times New Roman" w:hAnsi="Times New Roman"/>
          <w:sz w:val="20"/>
        </w:rPr>
        <w:t>. None of the Class B Lender Representative, its Affiliates, officers, directors, employees, attorneys, and agents (collectively, the “</w:t>
      </w:r>
      <w:r>
        <w:rPr>
          <w:rFonts w:ascii="Times New Roman" w:hAnsi="Times New Roman"/>
          <w:sz w:val="20"/>
          <w:u w:val="single"/>
        </w:rPr>
        <w:t>Class B Lender Representative-Related Persons</w:t>
      </w:r>
      <w:r>
        <w:rPr>
          <w:rFonts w:ascii="Times New Roman" w:hAnsi="Times New Roman"/>
          <w:sz w:val="20"/>
        </w:rPr>
        <w:t xml:space="preserve">”) shall (i) be liable for any action taken or omitted to be taken by any of them under or in connection with this Agreement or the transactions contemplated hereby (except for its own gross negligence or willful misconduct), or (ii) be responsible in any manner to any of the Class B Lenders for any recital, statement, representation or warranty made in any certificate, report, statement or other document referred to or provided for in, or received by Class B Lender Representative under or in connection with, this Agreement, or the validity, effectiveness, genuineness, enforceability or sufficiency of this Agreement. No Class B Lender Representative-Related Person shall be under any obligation to any Class B Lender to ascertain or to inquire as to the observance or performance of any of the agreements contained in or conditions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Reliance by Class B Lender Representative</w:t>
      </w:r>
      <w:r>
        <w:rPr>
          <w:rFonts w:ascii="Times New Roman" w:hAnsi="Times New Roman"/>
          <w:sz w:val="20"/>
        </w:rPr>
        <w:t xml:space="preserve">. Class B Lender Representative shall be entitled to rely, and shall be fully protected in relying, upon any writing, resolution, notice, consent, certificate, affidavit, letter, telegram, telefacsimile or other electronic method of transmission, telex or telephone message, statement or other document or conversation believed by it to be genuine and correct and to have been signed, sent, or made by the proper Person or Persons, and upon advice and statements of legal counsel (including counsel to any Class B Lender), independent accountants and other experts selected by Class B Lender Representative. Class B Lender Representative shall be fully justified in failing or refusing to take any action under this Agreement unless Class 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Lender Representative shall first receive such advice or concurrence of the Class B Lenders as it deems appropriate and until such instructions are received, Class B Lender Representative shall act, or refrain from acting, as it deems advisable. If Class B Lender Representative so requests, it shall first be indemnified to its reasonable satisfaction by the Class B Lenders against any and all liability and expense that may be incurred by it by reason of taking or continuing to take any such action. Class B Lender Representative shall in all cases be fully protected in acting, or in refraining from acting, under this Agreement in accordance with a request or consent of the requisite Class B Lenders and such request and any action taken or failure to act pursuant thereto shall be binding upon all of the Class B Lenders.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Credit Decision</w:t>
      </w:r>
      <w:r>
        <w:rPr>
          <w:rFonts w:ascii="Times New Roman" w:hAnsi="Times New Roman"/>
          <w:sz w:val="20"/>
        </w:rPr>
        <w:t xml:space="preserve">. Each Class B Lender acknowledges that none of Class B Lender Representative-Related Persons has made any representation or warranty to it, and that no act by Class B Lender Representative hereinafter taken, including any review of the affairs of Borrower and its Affiliates, shall be deemed to constitute any representation or warranty by any Class B Lender Representative-Related Person to any Class B Lender. Each Class B Lender represents to Class B Lender Representative that it has, independently and without reliance upon any Class B Lender Representative-Related Person and based on such due diligence, documents and information as it has deemed appropriate, made its own appraisal of and investigation into the business, prospects, operations, property, financial and other condition and creditworthiness of Borrower or any other Person party to a Transaction Document, and all applicable bank regulatory laws relating to the transactions contemplated hereby, and made its own decision to enter into this Agreement. Each Class B Lender also represents that it will, independently and without reliance upon any Class B Lender Representative-Related Person and based on such documents and information as it shall deem appropriate at the time, continue to make its own decisions in taking or not taking action under this Agreement, and to make such investigations as it deems necessary to inform itself as to the business, prospects, operations, property, financial and other condition and creditworthiness of Borrower or any other Person party to a Transaction Document. Except for notices, reports, and other documents expressly herein required to be furnished to the Class B Lenders by Class B Lender Representative, Class B Lender Representative shall not have any duty or responsibility to provide any Class B Lender with any credit or other information concerning the business, prospects, operations, property, financial and other condition or creditworthiness of Borrower or any other Person party to a Transaction Document that may come into the possession of any of the Class B Lender Representative-Related Persons. Each Class B Lender acknowledges that Class B Lender Representative does not have any duty or responsibility, either initially or on a continuing basis (except to the extent, if any, that is expressly specified herein) to provide such Class B Lender with any credit or other information with respect to Borrower, its Affiliates or any of their respective business, legal, financial or other affairs, and irrespective of whether such information came into Class B Lender Representative’s or its Affiliates’ or representatives’ possession before or after the date on which such Class B Lender became a party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Costs and Expenses; Indemnification</w:t>
      </w:r>
      <w:r>
        <w:rPr>
          <w:rFonts w:ascii="Times New Roman" w:hAnsi="Times New Roman"/>
          <w:sz w:val="20"/>
        </w:rPr>
        <w:t>. Whether or not the transactions contemplated hereby are consummated, each of the Class B Lenders, on a ratable basis, shall indemnify and defend the Class B Lender Representative-Related Persons from and against any and all claims, demands, suits, actions, investigations, proceedings, liabilities, fines, costs, penalties, and damages, and all reasonable fees and disbursements of attorneys, experts, or consultants and all other costs and expenses actually incurred in connection therewith or in connection with the enforcement of this indemnification (as and when they are incurred and irrespective of whether suit is brought), at any time asserted against, imposed upon, or incurred by any of them (i) in connection with or as a result of or related to the execution and delivery, enforcement, performance, or administration (including any restructuring or workout with respect hereto) of this Agreement or the transactions contemplated hereby, and (ii) with respect to any investigation, litigation, or proceeding related to this Agreement or the use of the proceeds of the credit provided hereunder (irrespective of whether any Class B Lender Representative-Related Person is a party thereto), or any act, omission, event, or circumstance in any manner related thereto (each and all of the foregoing, the “</w:t>
      </w:r>
      <w:r>
        <w:rPr>
          <w:rFonts w:ascii="Times New Roman" w:hAnsi="Times New Roman"/>
          <w:sz w:val="20"/>
          <w:u w:val="single"/>
        </w:rPr>
        <w:t>Class B Lender Indemnified Liabilities</w:t>
      </w:r>
      <w:r>
        <w:rPr>
          <w:rFonts w:ascii="Times New Roman" w:hAnsi="Times New Roman"/>
          <w:sz w:val="20"/>
        </w:rPr>
        <w:t xml:space="preserve">”); provided, however, that no Class B Lender shall be liable for the payment to any Class B Lender Representative-Related Person of any portion of such Class B Lender Indemnified Liabilities resulting solely from such Person’s gross negligence or willful misconduct. Without limitation of the foregoing, each Class B Lender shall reimburse Class B Lender Representative upon demand for such Class B Lender’s ratable share of any costs or out of pocket expenses (including attorneys, accountants, advisors, and consultants fees and expenses) incurred by Class B Lender Representative in connection with the preparation, execution, delivery, administration, modification, amendment, or enforcement (whether through negotiations, legal proceedings or otherwise) of, or legal advice in respect of rights or responsibilities under this Agreement. The undertaking in this </w:t>
      </w:r>
      <w:r>
        <w:rPr>
          <w:rFonts w:ascii="Times New Roman" w:hAnsi="Times New Roman"/>
          <w:sz w:val="20"/>
          <w:u w:val="single"/>
        </w:rPr>
        <w:t>Section 13.02(f)</w:t>
      </w:r>
      <w:r>
        <w:rPr>
          <w:rFonts w:ascii="Times New Roman" w:hAnsi="Times New Roman"/>
          <w:sz w:val="20"/>
        </w:rPr>
        <w:t xml:space="preserve"> shall survive the payment of all Borrower Obligations under this Agreement and the resignation or replacement of Class B Lender Representative.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Successor Class B Lender Representative</w:t>
      </w:r>
      <w:r>
        <w:rPr>
          <w:rFonts w:ascii="Times New Roman" w:hAnsi="Times New Roman"/>
          <w:sz w:val="20"/>
        </w:rPr>
        <w:t>. Class B Lender Representative may resign as Class B Lender Representative upon 30 days prior written notice to the Class B Lenders (unless such notice is waived by the Required Class B Lenders). If Class B Lender Representative resigns under this Agreement, the Required Class B Lenders shall be entitled to appoint a successor Class B Lender Representative for the Class B Lenders. If no successor Class B Lender Representative is appointed prior to the effective date of the resignation of Class B Lender Representative, Class B Lender Representative may appoint, after consulting with the Class B Lenders, a successor Class B Lender Representative. If Class B Lender Representative has materially breached or failed to perform any material provision of this Agreement or of applicable law, the Required Class B Lenders may agree in writing to remove and replace Class B Lender Representative with a successor Class B Lender Representative from among the Class B Lenders. In any such event, upon the acceptance of its appointment as successor Class B Lender Representative hereunder, such successor Class B Lender Representative shall succeed to all the rights, powers, and duties of the retiring Class B Lender Representative and the term “</w:t>
      </w:r>
      <w:r>
        <w:rPr>
          <w:rFonts w:ascii="Times New Roman" w:hAnsi="Times New Roman"/>
          <w:sz w:val="20"/>
          <w:u w:val="single"/>
        </w:rPr>
        <w:t>Class B Lender Representative</w:t>
      </w:r>
      <w:r>
        <w:rPr>
          <w:rFonts w:ascii="Times New Roman" w:hAnsi="Times New Roman"/>
          <w:sz w:val="20"/>
        </w:rPr>
        <w:t xml:space="preserve">” shall mean such successor Class B Lender Representative and the retiring Class B Lender Representative’s appointment, powers, and duties as Class B Lender Representative shall be terminated. After any retiring Class B Lender Representative’s resignation hereunder as Class B Lender Representative, the provisions of this </w:t>
      </w:r>
      <w:r>
        <w:rPr>
          <w:rFonts w:ascii="Times New Roman" w:hAnsi="Times New Roman"/>
          <w:sz w:val="20"/>
          <w:u w:val="single"/>
        </w:rPr>
        <w:t>Section 13.02(g)</w:t>
      </w:r>
      <w:r>
        <w:rPr>
          <w:rFonts w:ascii="Times New Roman" w:hAnsi="Times New Roman"/>
          <w:sz w:val="20"/>
        </w:rPr>
        <w:t xml:space="preserve"> shall inure to its benefit as to any actions taken or omitted to be taken by it while it was Class B Lender Representative under this Agreement. If no successor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Class B Lender Representative has accepted appointment as Class B Lender Representative by the date which is 30 days following a retiring Class B Lender Representative’s notice of resignation, the retiring Class B Lender Representative’s resignation shall nevertheless thereupon become effective and the Class B Lenders shall perform all of the duties of Class B Lender Representative hereunder until such time, if any, as the Class B Lenders appoint a successor Class B Lender Representative as provided for above.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Class B Lender Representative in Individual Capacity</w:t>
      </w:r>
      <w:r>
        <w:rPr>
          <w:rFonts w:ascii="Times New Roman" w:hAnsi="Times New Roman"/>
          <w:sz w:val="20"/>
        </w:rPr>
        <w:t xml:space="preserve">. Centerbridge Credit CS, L.P. and its Affiliates may make loans to, issue letters of credit for the account of, accept deposits from, provide hedge products, to, acquire equity interests in, and generally engage in any kind of banking, trust, financial advisory, underwriting, or other business with any Borrower-Related Party and its Affiliates and any other Person party to any Transaction Document as though Centerbridge Credit CS, L.P. were not Class B Lender Representative hereunder, and, in each case, without notice to or consent of the other Class B Lenders. The Class B Lenders acknowledge that, pursuant to such activities, Centerbridge Credit CS, L.P. or its Affiliates may receive information regarding the Borrower-Related Parties or their Affiliates or any other Person party to any Transaction Documents that is subject to confidentiality obligations in favor of the Borrower-Related Parties or such other Person and that prohibit the disclosure of such information to the Class B Lenders, and the Class B Lenders acknowledge that, in such circumstances (and in the absence of a waiver of such confidentiality obligations), Class B Lender Representative shall not be under any obligation to provide such information to them. </w:t>
      </w:r>
    </w:p>
    <w:p>
      <w:pPr>
        <w:pStyle w:val="TextBody"/>
        <w:bidi w:val="0"/>
        <w:spacing w:before="240" w:after="0"/>
        <w:jc w:val="center"/>
        <w:rPr>
          <w:rFonts w:ascii="Times New Roman" w:hAnsi="Times New Roman"/>
          <w:b/>
          <w:sz w:val="20"/>
        </w:rPr>
      </w:pPr>
      <w:r>
        <w:rPr>
          <w:rFonts w:ascii="Times New Roman" w:hAnsi="Times New Roman"/>
          <w:b/>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executed by their respective officers thereunto duly authorized,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2508"/>
        <w:gridCol w:w="178"/>
        <w:gridCol w:w="1396"/>
      </w:tblGrid>
      <w:tr>
        <w:trPr/>
        <w:tc>
          <w:tcPr>
            <w:tcW w:w="2508"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SABRE SECURITIZATION, LLC,</w:t>
            </w:r>
          </w:p>
        </w:tc>
      </w:tr>
      <w:tr>
        <w:trPr/>
        <w:tc>
          <w:tcPr>
            <w:tcW w:w="4082" w:type="dxa"/>
            <w:gridSpan w:val="3"/>
            <w:tcBorders/>
          </w:tcPr>
          <w:p>
            <w:pPr>
              <w:pStyle w:val="TableContents"/>
              <w:bidi w:val="0"/>
              <w:spacing w:before="0" w:after="283"/>
              <w:jc w:val="left"/>
              <w:rPr/>
            </w:pPr>
            <w:r>
              <w:rPr/>
              <w:t>as Borrower</w:t>
            </w:r>
          </w:p>
        </w:tc>
      </w:tr>
      <w:tr>
        <w:trPr>
          <w:trHeight w:val="240" w:hRule="atLeast"/>
        </w:trPr>
        <w:tc>
          <w:tcPr>
            <w:tcW w:w="2508" w:type="dxa"/>
            <w:tcBorders/>
            <w:vAlign w:val="center"/>
          </w:tcPr>
          <w:p>
            <w:pPr>
              <w:pStyle w:val="TableContents"/>
              <w:bidi w:val="0"/>
              <w:spacing w:before="0" w:after="283"/>
              <w:jc w:val="left"/>
              <w:rPr>
                <w:sz w:val="4"/>
                <w:szCs w:val="4"/>
              </w:rPr>
            </w:pPr>
            <w:r>
              <w:rPr>
                <w:sz w:val="4"/>
                <w:szCs w:val="4"/>
              </w:rPr>
            </w:r>
          </w:p>
        </w:tc>
        <w:tc>
          <w:tcPr>
            <w:tcW w:w="1574" w:type="dxa"/>
            <w:gridSpan w:val="2"/>
            <w:tcBorders/>
            <w:vAlign w:val="center"/>
          </w:tcPr>
          <w:p>
            <w:pPr>
              <w:pStyle w:val="TableContents"/>
              <w:bidi w:val="0"/>
              <w:spacing w:before="0" w:after="283"/>
              <w:jc w:val="left"/>
              <w:rPr>
                <w:sz w:val="4"/>
                <w:szCs w:val="4"/>
              </w:rPr>
            </w:pPr>
            <w:r>
              <w:rPr>
                <w:sz w:val="4"/>
                <w:szCs w:val="4"/>
              </w:rPr>
            </w:r>
          </w:p>
        </w:tc>
      </w:tr>
      <w:tr>
        <w:trPr/>
        <w:tc>
          <w:tcPr>
            <w:tcW w:w="2508" w:type="dxa"/>
            <w:tcBorders/>
          </w:tcPr>
          <w:p>
            <w:pPr>
              <w:pStyle w:val="TableContents"/>
              <w:bidi w:val="0"/>
              <w:spacing w:before="0" w:after="283"/>
              <w:jc w:val="left"/>
              <w:rPr/>
            </w:pPr>
            <w:r>
              <w:rPr/>
              <w:t>By:</w:t>
            </w:r>
          </w:p>
        </w:tc>
        <w:tc>
          <w:tcPr>
            <w:tcW w:w="178" w:type="dxa"/>
            <w:tcBorders/>
            <w:vAlign w:val="bottom"/>
          </w:tcPr>
          <w:p>
            <w:pPr>
              <w:pStyle w:val="TableContents"/>
              <w:bidi w:val="0"/>
              <w:spacing w:before="0" w:after="283"/>
              <w:jc w:val="left"/>
              <w:rPr/>
            </w:pPr>
            <w:r>
              <w:rPr/>
              <w:t> </w:t>
            </w:r>
          </w:p>
        </w:tc>
        <w:tc>
          <w:tcPr>
            <w:tcW w:w="1396" w:type="dxa"/>
            <w:tcBorders/>
          </w:tcPr>
          <w:p>
            <w:pPr>
              <w:pStyle w:val="TableContents"/>
              <w:pBdr>
                <w:bottom w:val="single" w:sz="2" w:space="1" w:color="000000"/>
              </w:pBdr>
              <w:bidi w:val="0"/>
              <w:spacing w:before="0" w:after="20"/>
              <w:jc w:val="left"/>
              <w:rPr/>
            </w:pPr>
            <w:r>
              <w:rPr/>
              <w:t> </w:t>
            </w:r>
          </w:p>
        </w:tc>
      </w:tr>
      <w:tr>
        <w:trPr/>
        <w:tc>
          <w:tcPr>
            <w:tcW w:w="2508" w:type="dxa"/>
            <w:tcBorders/>
          </w:tcPr>
          <w:p>
            <w:pPr>
              <w:pStyle w:val="TableContents"/>
              <w:bidi w:val="0"/>
              <w:spacing w:before="0" w:after="283"/>
              <w:jc w:val="left"/>
              <w:rPr/>
            </w:pPr>
            <w:r>
              <w:rPr/>
              <w:t>Name:</w:t>
            </w:r>
          </w:p>
        </w:tc>
        <w:tc>
          <w:tcPr>
            <w:tcW w:w="178" w:type="dxa"/>
            <w:tcBorders/>
            <w:vAlign w:val="bottom"/>
          </w:tcPr>
          <w:p>
            <w:pPr>
              <w:pStyle w:val="TableContents"/>
              <w:bidi w:val="0"/>
              <w:spacing w:before="0" w:after="283"/>
              <w:jc w:val="left"/>
              <w:rPr/>
            </w:pPr>
            <w:r>
              <w:rPr/>
              <w:t> </w:t>
            </w:r>
          </w:p>
        </w:tc>
        <w:tc>
          <w:tcPr>
            <w:tcW w:w="1396" w:type="dxa"/>
            <w:tcBorders/>
          </w:tcPr>
          <w:p>
            <w:pPr>
              <w:pStyle w:val="TableContents"/>
              <w:bidi w:val="0"/>
              <w:spacing w:before="0" w:after="283"/>
              <w:jc w:val="left"/>
              <w:rPr>
                <w:sz w:val="4"/>
                <w:szCs w:val="4"/>
              </w:rPr>
            </w:pPr>
            <w:r>
              <w:rPr>
                <w:sz w:val="4"/>
                <w:szCs w:val="4"/>
              </w:rPr>
            </w:r>
          </w:p>
        </w:tc>
      </w:tr>
      <w:tr>
        <w:trPr/>
        <w:tc>
          <w:tcPr>
            <w:tcW w:w="2508" w:type="dxa"/>
            <w:tcBorders/>
          </w:tcPr>
          <w:p>
            <w:pPr>
              <w:pStyle w:val="TableContents"/>
              <w:bidi w:val="0"/>
              <w:spacing w:before="0" w:after="283"/>
              <w:jc w:val="left"/>
              <w:rPr/>
            </w:pPr>
            <w:r>
              <w:rPr/>
              <w:t>Title:</w:t>
            </w:r>
          </w:p>
        </w:tc>
        <w:tc>
          <w:tcPr>
            <w:tcW w:w="178" w:type="dxa"/>
            <w:tcBorders/>
            <w:vAlign w:val="bottom"/>
          </w:tcPr>
          <w:p>
            <w:pPr>
              <w:pStyle w:val="TableContents"/>
              <w:bidi w:val="0"/>
              <w:spacing w:before="0" w:after="283"/>
              <w:jc w:val="left"/>
              <w:rPr/>
            </w:pPr>
            <w:r>
              <w:rPr/>
              <w:t> </w:t>
            </w:r>
          </w:p>
        </w:tc>
        <w:tc>
          <w:tcPr>
            <w:tcW w:w="1396" w:type="dxa"/>
            <w:tcBorders/>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SABRE GLBL INC.,</w:t>
            </w:r>
          </w:p>
          <w:p>
            <w:pPr>
              <w:pStyle w:val="TableContents"/>
              <w:bidi w:val="0"/>
              <w:spacing w:before="0" w:after="20"/>
              <w:jc w:val="left"/>
              <w:rPr>
                <w:rFonts w:ascii="Times New Roman" w:hAnsi="Times New Roman"/>
                <w:sz w:val="20"/>
              </w:rPr>
            </w:pPr>
            <w:r>
              <w:rPr>
                <w:rFonts w:ascii="Times New Roman" w:hAnsi="Times New Roman"/>
                <w:sz w:val="20"/>
              </w:rPr>
              <w:t>as U.S. Servicer</w:t>
            </w:r>
          </w:p>
        </w:tc>
      </w:tr>
      <w:tr>
        <w:trPr>
          <w:trHeight w:val="240" w:hRule="atLeast"/>
        </w:trPr>
        <w:tc>
          <w:tcPr>
            <w:tcW w:w="2508" w:type="dxa"/>
            <w:tcBorders/>
            <w:vAlign w:val="center"/>
          </w:tcPr>
          <w:p>
            <w:pPr>
              <w:pStyle w:val="TableContents"/>
              <w:bidi w:val="0"/>
              <w:spacing w:before="0" w:after="283"/>
              <w:jc w:val="left"/>
              <w:rPr>
                <w:sz w:val="4"/>
                <w:szCs w:val="4"/>
              </w:rPr>
            </w:pPr>
            <w:r>
              <w:rPr>
                <w:sz w:val="4"/>
                <w:szCs w:val="4"/>
              </w:rPr>
            </w:r>
          </w:p>
        </w:tc>
        <w:tc>
          <w:tcPr>
            <w:tcW w:w="1574" w:type="dxa"/>
            <w:gridSpan w:val="2"/>
            <w:tcBorders/>
            <w:vAlign w:val="center"/>
          </w:tcPr>
          <w:p>
            <w:pPr>
              <w:pStyle w:val="TableContents"/>
              <w:bidi w:val="0"/>
              <w:spacing w:before="0" w:after="283"/>
              <w:jc w:val="left"/>
              <w:rPr>
                <w:sz w:val="4"/>
                <w:szCs w:val="4"/>
              </w:rPr>
            </w:pPr>
            <w:r>
              <w:rPr>
                <w:sz w:val="4"/>
                <w:szCs w:val="4"/>
              </w:rPr>
            </w:r>
          </w:p>
        </w:tc>
      </w:tr>
      <w:tr>
        <w:trPr/>
        <w:tc>
          <w:tcPr>
            <w:tcW w:w="2508" w:type="dxa"/>
            <w:tcBorders/>
          </w:tcPr>
          <w:p>
            <w:pPr>
              <w:pStyle w:val="TableContents"/>
              <w:bidi w:val="0"/>
              <w:spacing w:before="0" w:after="283"/>
              <w:jc w:val="left"/>
              <w:rPr/>
            </w:pPr>
            <w:r>
              <w:rPr/>
              <w:t>By:</w:t>
            </w:r>
          </w:p>
        </w:tc>
        <w:tc>
          <w:tcPr>
            <w:tcW w:w="178" w:type="dxa"/>
            <w:tcBorders/>
            <w:vAlign w:val="bottom"/>
          </w:tcPr>
          <w:p>
            <w:pPr>
              <w:pStyle w:val="TableContents"/>
              <w:bidi w:val="0"/>
              <w:spacing w:before="0" w:after="283"/>
              <w:jc w:val="left"/>
              <w:rPr/>
            </w:pPr>
            <w:r>
              <w:rPr/>
              <w:t> </w:t>
            </w:r>
          </w:p>
        </w:tc>
        <w:tc>
          <w:tcPr>
            <w:tcW w:w="1396" w:type="dxa"/>
            <w:tcBorders/>
          </w:tcPr>
          <w:p>
            <w:pPr>
              <w:pStyle w:val="TableContents"/>
              <w:pBdr>
                <w:bottom w:val="single" w:sz="2" w:space="1" w:color="000000"/>
              </w:pBdr>
              <w:bidi w:val="0"/>
              <w:spacing w:before="0" w:after="20"/>
              <w:jc w:val="left"/>
              <w:rPr/>
            </w:pPr>
            <w:r>
              <w:rPr/>
              <w:t> </w:t>
            </w:r>
          </w:p>
        </w:tc>
      </w:tr>
      <w:tr>
        <w:trPr/>
        <w:tc>
          <w:tcPr>
            <w:tcW w:w="2508" w:type="dxa"/>
            <w:tcBorders/>
          </w:tcPr>
          <w:p>
            <w:pPr>
              <w:pStyle w:val="TableContents"/>
              <w:bidi w:val="0"/>
              <w:spacing w:before="0" w:after="283"/>
              <w:jc w:val="left"/>
              <w:rPr/>
            </w:pPr>
            <w:r>
              <w:rPr/>
              <w:t>Name:</w:t>
            </w:r>
          </w:p>
        </w:tc>
        <w:tc>
          <w:tcPr>
            <w:tcW w:w="178" w:type="dxa"/>
            <w:tcBorders/>
            <w:vAlign w:val="bottom"/>
          </w:tcPr>
          <w:p>
            <w:pPr>
              <w:pStyle w:val="TableContents"/>
              <w:bidi w:val="0"/>
              <w:spacing w:before="0" w:after="283"/>
              <w:jc w:val="left"/>
              <w:rPr/>
            </w:pPr>
            <w:r>
              <w:rPr/>
              <w:t> </w:t>
            </w:r>
          </w:p>
        </w:tc>
        <w:tc>
          <w:tcPr>
            <w:tcW w:w="1396" w:type="dxa"/>
            <w:tcBorders/>
          </w:tcPr>
          <w:p>
            <w:pPr>
              <w:pStyle w:val="TableContents"/>
              <w:bidi w:val="0"/>
              <w:spacing w:before="0" w:after="283"/>
              <w:jc w:val="left"/>
              <w:rPr>
                <w:sz w:val="4"/>
                <w:szCs w:val="4"/>
              </w:rPr>
            </w:pPr>
            <w:r>
              <w:rPr>
                <w:sz w:val="4"/>
                <w:szCs w:val="4"/>
              </w:rPr>
            </w:r>
          </w:p>
        </w:tc>
      </w:tr>
      <w:tr>
        <w:trPr/>
        <w:tc>
          <w:tcPr>
            <w:tcW w:w="2508" w:type="dxa"/>
            <w:tcBorders/>
          </w:tcPr>
          <w:p>
            <w:pPr>
              <w:pStyle w:val="TableContents"/>
              <w:bidi w:val="0"/>
              <w:spacing w:before="0" w:after="283"/>
              <w:jc w:val="left"/>
              <w:rPr/>
            </w:pPr>
            <w:r>
              <w:rPr/>
              <w:t>Title:</w:t>
            </w:r>
          </w:p>
        </w:tc>
        <w:tc>
          <w:tcPr>
            <w:tcW w:w="178" w:type="dxa"/>
            <w:tcBorders/>
            <w:vAlign w:val="bottom"/>
          </w:tcPr>
          <w:p>
            <w:pPr>
              <w:pStyle w:val="TableContents"/>
              <w:bidi w:val="0"/>
              <w:spacing w:before="0" w:after="283"/>
              <w:jc w:val="left"/>
              <w:rPr/>
            </w:pPr>
            <w:r>
              <w:rPr/>
              <w:t> </w:t>
            </w:r>
          </w:p>
        </w:tc>
        <w:tc>
          <w:tcPr>
            <w:tcW w:w="1396" w:type="dxa"/>
            <w:tcBorders/>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 xml:space="preserve">SABRE GLOBAL </w:t>
            </w:r>
            <w:r>
              <w:rPr>
                <w:rFonts w:ascii="Times New Roman" w:hAnsi="Times New Roman"/>
                <w:strike/>
                <w:color w:val="FF0000"/>
                <w:sz w:val="20"/>
              </w:rPr>
              <w:t>TECHNOLIGIES</w:t>
            </w:r>
            <w:r>
              <w:rPr>
                <w:rFonts w:ascii="Times New Roman" w:hAnsi="Times New Roman"/>
                <w:color w:val="0000FF"/>
                <w:sz w:val="20"/>
                <w:u w:val="single"/>
                <w:bdr w:val="double" w:sz="2" w:space="1" w:color="000000"/>
              </w:rPr>
              <w:t>TECHNOLOGIES</w:t>
            </w:r>
            <w:r>
              <w:rPr>
                <w:rFonts w:ascii="Times New Roman" w:hAnsi="Times New Roman"/>
                <w:sz w:val="20"/>
              </w:rPr>
              <w:t xml:space="preserve"> LIMITED,</w:t>
            </w:r>
          </w:p>
          <w:p>
            <w:pPr>
              <w:pStyle w:val="TableContents"/>
              <w:bidi w:val="0"/>
              <w:spacing w:before="0" w:after="20"/>
              <w:jc w:val="left"/>
              <w:rPr>
                <w:rFonts w:ascii="Times New Roman" w:hAnsi="Times New Roman"/>
                <w:sz w:val="20"/>
              </w:rPr>
            </w:pPr>
            <w:r>
              <w:rPr>
                <w:rFonts w:ascii="Times New Roman" w:hAnsi="Times New Roman"/>
                <w:sz w:val="20"/>
              </w:rPr>
              <w:t>as UK Servicer</w:t>
            </w:r>
          </w:p>
        </w:tc>
      </w:tr>
      <w:tr>
        <w:trPr>
          <w:trHeight w:val="240" w:hRule="atLeast"/>
        </w:trPr>
        <w:tc>
          <w:tcPr>
            <w:tcW w:w="2508" w:type="dxa"/>
            <w:tcBorders/>
            <w:vAlign w:val="center"/>
          </w:tcPr>
          <w:p>
            <w:pPr>
              <w:pStyle w:val="TableContents"/>
              <w:bidi w:val="0"/>
              <w:spacing w:before="0" w:after="283"/>
              <w:jc w:val="left"/>
              <w:rPr>
                <w:sz w:val="4"/>
                <w:szCs w:val="4"/>
              </w:rPr>
            </w:pPr>
            <w:r>
              <w:rPr>
                <w:sz w:val="4"/>
                <w:szCs w:val="4"/>
              </w:rPr>
            </w:r>
          </w:p>
        </w:tc>
        <w:tc>
          <w:tcPr>
            <w:tcW w:w="1574" w:type="dxa"/>
            <w:gridSpan w:val="2"/>
            <w:tcBorders/>
            <w:vAlign w:val="center"/>
          </w:tcPr>
          <w:p>
            <w:pPr>
              <w:pStyle w:val="TableContents"/>
              <w:bidi w:val="0"/>
              <w:spacing w:before="0" w:after="283"/>
              <w:jc w:val="left"/>
              <w:rPr>
                <w:sz w:val="4"/>
                <w:szCs w:val="4"/>
              </w:rPr>
            </w:pPr>
            <w:r>
              <w:rPr>
                <w:sz w:val="4"/>
                <w:szCs w:val="4"/>
              </w:rPr>
            </w:r>
          </w:p>
        </w:tc>
      </w:tr>
      <w:tr>
        <w:trPr/>
        <w:tc>
          <w:tcPr>
            <w:tcW w:w="2508" w:type="dxa"/>
            <w:tcBorders/>
          </w:tcPr>
          <w:p>
            <w:pPr>
              <w:pStyle w:val="TableContents"/>
              <w:bidi w:val="0"/>
              <w:spacing w:before="0" w:after="283"/>
              <w:jc w:val="left"/>
              <w:rPr/>
            </w:pPr>
            <w:r>
              <w:rPr/>
              <w:t>By:</w:t>
            </w:r>
          </w:p>
        </w:tc>
        <w:tc>
          <w:tcPr>
            <w:tcW w:w="178" w:type="dxa"/>
            <w:tcBorders/>
            <w:vAlign w:val="bottom"/>
          </w:tcPr>
          <w:p>
            <w:pPr>
              <w:pStyle w:val="TableContents"/>
              <w:bidi w:val="0"/>
              <w:spacing w:before="0" w:after="283"/>
              <w:jc w:val="left"/>
              <w:rPr/>
            </w:pPr>
            <w:r>
              <w:rPr/>
              <w:t> </w:t>
            </w:r>
          </w:p>
        </w:tc>
        <w:tc>
          <w:tcPr>
            <w:tcW w:w="1396" w:type="dxa"/>
            <w:tcBorders/>
          </w:tcPr>
          <w:p>
            <w:pPr>
              <w:pStyle w:val="TableContents"/>
              <w:pBdr>
                <w:bottom w:val="single" w:sz="2" w:space="1" w:color="000000"/>
              </w:pBdr>
              <w:bidi w:val="0"/>
              <w:spacing w:before="0" w:after="20"/>
              <w:jc w:val="left"/>
              <w:rPr/>
            </w:pPr>
            <w:r>
              <w:rPr/>
              <w:t> </w:t>
            </w:r>
          </w:p>
        </w:tc>
      </w:tr>
      <w:tr>
        <w:trPr/>
        <w:tc>
          <w:tcPr>
            <w:tcW w:w="2508" w:type="dxa"/>
            <w:tcBorders/>
          </w:tcPr>
          <w:p>
            <w:pPr>
              <w:pStyle w:val="TableContents"/>
              <w:bidi w:val="0"/>
              <w:spacing w:before="0" w:after="283"/>
              <w:jc w:val="left"/>
              <w:rPr/>
            </w:pPr>
            <w:r>
              <w:rPr/>
              <w:t>Name:</w:t>
            </w:r>
          </w:p>
        </w:tc>
        <w:tc>
          <w:tcPr>
            <w:tcW w:w="178" w:type="dxa"/>
            <w:tcBorders/>
            <w:vAlign w:val="bottom"/>
          </w:tcPr>
          <w:p>
            <w:pPr>
              <w:pStyle w:val="TableContents"/>
              <w:bidi w:val="0"/>
              <w:spacing w:before="0" w:after="283"/>
              <w:jc w:val="left"/>
              <w:rPr/>
            </w:pPr>
            <w:r>
              <w:rPr/>
              <w:t> </w:t>
            </w:r>
          </w:p>
        </w:tc>
        <w:tc>
          <w:tcPr>
            <w:tcW w:w="1396" w:type="dxa"/>
            <w:tcBorders/>
          </w:tcPr>
          <w:p>
            <w:pPr>
              <w:pStyle w:val="TableContents"/>
              <w:bidi w:val="0"/>
              <w:spacing w:before="0" w:after="283"/>
              <w:jc w:val="left"/>
              <w:rPr>
                <w:sz w:val="4"/>
                <w:szCs w:val="4"/>
              </w:rPr>
            </w:pPr>
            <w:r>
              <w:rPr>
                <w:sz w:val="4"/>
                <w:szCs w:val="4"/>
              </w:rPr>
            </w:r>
          </w:p>
        </w:tc>
      </w:tr>
      <w:tr>
        <w:trPr/>
        <w:tc>
          <w:tcPr>
            <w:tcW w:w="2508" w:type="dxa"/>
            <w:tcBorders/>
          </w:tcPr>
          <w:p>
            <w:pPr>
              <w:pStyle w:val="TableContents"/>
              <w:bidi w:val="0"/>
              <w:spacing w:before="0" w:after="283"/>
              <w:jc w:val="left"/>
              <w:rPr/>
            </w:pPr>
            <w:r>
              <w:rPr/>
              <w:t>Title:</w:t>
            </w:r>
          </w:p>
        </w:tc>
        <w:tc>
          <w:tcPr>
            <w:tcW w:w="178" w:type="dxa"/>
            <w:tcBorders/>
            <w:vAlign w:val="bottom"/>
          </w:tcPr>
          <w:p>
            <w:pPr>
              <w:pStyle w:val="TableContents"/>
              <w:bidi w:val="0"/>
              <w:spacing w:before="0" w:after="283"/>
              <w:jc w:val="left"/>
              <w:rPr/>
            </w:pPr>
            <w:r>
              <w:rPr/>
              <w:t> </w:t>
            </w:r>
          </w:p>
        </w:tc>
        <w:tc>
          <w:tcPr>
            <w:tcW w:w="1396" w:type="dxa"/>
            <w:tcBorders/>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SABRE ASIA PACIFIC PTE. LTD.,</w:t>
            </w:r>
          </w:p>
          <w:p>
            <w:pPr>
              <w:pStyle w:val="TableContents"/>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as SG Servicer</w:t>
            </w:r>
          </w:p>
        </w:tc>
      </w:tr>
      <w:tr>
        <w:trPr>
          <w:trHeight w:val="240" w:hRule="atLeast"/>
        </w:trPr>
        <w:tc>
          <w:tcPr>
            <w:tcW w:w="2508" w:type="dxa"/>
            <w:tcBorders/>
            <w:vAlign w:val="center"/>
          </w:tcPr>
          <w:p>
            <w:pPr>
              <w:pStyle w:val="TableContents"/>
              <w:bidi w:val="0"/>
              <w:spacing w:before="0" w:after="283"/>
              <w:jc w:val="left"/>
              <w:rPr>
                <w:sz w:val="4"/>
                <w:szCs w:val="4"/>
              </w:rPr>
            </w:pPr>
            <w:r>
              <w:rPr>
                <w:sz w:val="4"/>
                <w:szCs w:val="4"/>
              </w:rPr>
            </w:r>
          </w:p>
        </w:tc>
        <w:tc>
          <w:tcPr>
            <w:tcW w:w="1574" w:type="dxa"/>
            <w:gridSpan w:val="2"/>
            <w:tcBorders/>
            <w:vAlign w:val="center"/>
          </w:tcPr>
          <w:p>
            <w:pPr>
              <w:pStyle w:val="TableContents"/>
              <w:bidi w:val="0"/>
              <w:spacing w:before="0" w:after="283"/>
              <w:jc w:val="left"/>
              <w:rPr>
                <w:sz w:val="4"/>
                <w:szCs w:val="4"/>
              </w:rPr>
            </w:pPr>
            <w:r>
              <w:rPr>
                <w:sz w:val="4"/>
                <w:szCs w:val="4"/>
              </w:rPr>
            </w:r>
          </w:p>
        </w:tc>
      </w:tr>
      <w:tr>
        <w:trPr/>
        <w:tc>
          <w:tcPr>
            <w:tcW w:w="2508"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w:t>
            </w:r>
          </w:p>
        </w:tc>
        <w:tc>
          <w:tcPr>
            <w:tcW w:w="178" w:type="dxa"/>
            <w:tcBorders/>
            <w:vAlign w:val="bottom"/>
          </w:tcPr>
          <w:p>
            <w:pPr>
              <w:pStyle w:val="TableContents"/>
              <w:bidi w:val="0"/>
              <w:spacing w:before="0" w:after="283"/>
              <w:jc w:val="left"/>
              <w:rPr/>
            </w:pPr>
            <w:r>
              <w:rPr/>
              <w:t> </w:t>
            </w:r>
          </w:p>
        </w:tc>
        <w:tc>
          <w:tcPr>
            <w:tcW w:w="1396" w:type="dxa"/>
            <w:tcBorders/>
          </w:tcPr>
          <w:p>
            <w:pPr>
              <w:pStyle w:val="TableContents"/>
              <w:bidi w:val="0"/>
              <w:spacing w:before="0" w:after="283"/>
              <w:jc w:val="left"/>
              <w:rPr>
                <w:sz w:val="4"/>
                <w:szCs w:val="4"/>
              </w:rPr>
            </w:pPr>
            <w:r>
              <w:rPr>
                <w:sz w:val="4"/>
                <w:szCs w:val="4"/>
              </w:rPr>
            </w:r>
          </w:p>
        </w:tc>
      </w:tr>
      <w:tr>
        <w:trPr/>
        <w:tc>
          <w:tcPr>
            <w:tcW w:w="2508"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Name:</w:t>
            </w:r>
          </w:p>
        </w:tc>
        <w:tc>
          <w:tcPr>
            <w:tcW w:w="178" w:type="dxa"/>
            <w:tcBorders/>
            <w:vAlign w:val="bottom"/>
          </w:tcPr>
          <w:p>
            <w:pPr>
              <w:pStyle w:val="TableContents"/>
              <w:bidi w:val="0"/>
              <w:spacing w:before="0" w:after="283"/>
              <w:jc w:val="left"/>
              <w:rPr/>
            </w:pPr>
            <w:r>
              <w:rPr/>
              <w:t> </w:t>
            </w:r>
          </w:p>
        </w:tc>
        <w:tc>
          <w:tcPr>
            <w:tcW w:w="1396" w:type="dxa"/>
            <w:tcBorders/>
          </w:tcPr>
          <w:p>
            <w:pPr>
              <w:pStyle w:val="TableContents"/>
              <w:bidi w:val="0"/>
              <w:spacing w:before="0" w:after="283"/>
              <w:jc w:val="left"/>
              <w:rPr>
                <w:sz w:val="4"/>
                <w:szCs w:val="4"/>
              </w:rPr>
            </w:pPr>
            <w:r>
              <w:rPr>
                <w:sz w:val="4"/>
                <w:szCs w:val="4"/>
              </w:rPr>
            </w:r>
          </w:p>
        </w:tc>
      </w:tr>
      <w:tr>
        <w:trPr/>
        <w:tc>
          <w:tcPr>
            <w:tcW w:w="2508"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Title:</w:t>
            </w:r>
          </w:p>
        </w:tc>
        <w:tc>
          <w:tcPr>
            <w:tcW w:w="178" w:type="dxa"/>
            <w:tcBorders/>
            <w:vAlign w:val="bottom"/>
          </w:tcPr>
          <w:p>
            <w:pPr>
              <w:pStyle w:val="TableContents"/>
              <w:bidi w:val="0"/>
              <w:spacing w:before="0" w:after="283"/>
              <w:jc w:val="left"/>
              <w:rPr/>
            </w:pPr>
            <w:r>
              <w:rPr/>
              <w:t> </w:t>
            </w:r>
          </w:p>
        </w:tc>
        <w:tc>
          <w:tcPr>
            <w:tcW w:w="1396"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81"/>
        <w:gridCol w:w="120"/>
        <w:gridCol w:w="3305"/>
        <w:gridCol w:w="120"/>
        <w:gridCol w:w="3379"/>
      </w:tblGrid>
      <w:tr>
        <w:trPr/>
        <w:tc>
          <w:tcPr>
            <w:tcW w:w="328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79" w:type="dxa"/>
            <w:tcBorders/>
            <w:vAlign w:val="center"/>
          </w:tcPr>
          <w:p>
            <w:pPr>
              <w:pStyle w:val="TableContents"/>
              <w:bidi w:val="0"/>
              <w:spacing w:before="0" w:after="283"/>
              <w:jc w:val="left"/>
              <w:rPr>
                <w:sz w:val="4"/>
                <w:szCs w:val="4"/>
              </w:rPr>
            </w:pPr>
            <w:r>
              <w:rPr>
                <w:sz w:val="4"/>
                <w:szCs w:val="4"/>
              </w:rPr>
            </w:r>
          </w:p>
        </w:tc>
      </w:tr>
      <w:tr>
        <w:trPr/>
        <w:tc>
          <w:tcPr>
            <w:tcW w:w="328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05" w:type="dxa"/>
            <w:tcBorders/>
          </w:tcPr>
          <w:p>
            <w:pPr>
              <w:pStyle w:val="TableContents"/>
              <w:bidi w:val="0"/>
              <w:spacing w:before="0" w:after="283"/>
              <w:jc w:val="center"/>
              <w:rPr>
                <w:strike/>
                <w:color w:val="FF0000"/>
              </w:rPr>
            </w:pPr>
            <w:r>
              <w:rPr>
                <w:strike/>
                <w:color w:val="FF0000"/>
              </w:rPr>
              <w:t>S-</w:t>
            </w:r>
          </w:p>
        </w:tc>
        <w:tc>
          <w:tcPr>
            <w:tcW w:w="120" w:type="dxa"/>
            <w:tcBorders/>
            <w:vAlign w:val="bottom"/>
          </w:tcPr>
          <w:p>
            <w:pPr>
              <w:pStyle w:val="TableContents"/>
              <w:bidi w:val="0"/>
              <w:spacing w:before="0" w:after="283"/>
              <w:jc w:val="left"/>
              <w:rPr/>
            </w:pPr>
            <w:r>
              <w:rPr/>
              <w:t>  </w:t>
            </w:r>
          </w:p>
        </w:tc>
        <w:tc>
          <w:tcPr>
            <w:tcW w:w="3379" w:type="dxa"/>
            <w:tcBorders/>
          </w:tcPr>
          <w:p>
            <w:pPr>
              <w:pStyle w:val="TableContents"/>
              <w:bidi w:val="0"/>
              <w:spacing w:before="0" w:after="283"/>
              <w:jc w:val="right"/>
              <w:rPr>
                <w:i/>
                <w:strike/>
                <w:color w:val="FF0000"/>
              </w:rPr>
            </w:pPr>
            <w:r>
              <w:rPr>
                <w:i/>
                <w:strike/>
                <w:color w:val="FF0000"/>
              </w:rPr>
              <w:t>Receivables Financing Agreement</w:t>
            </w:r>
          </w:p>
        </w:tc>
      </w:tr>
    </w:tbl>
    <w:p>
      <w:pPr>
        <w:pStyle w:val="TextBody"/>
        <w:bidi w:val="0"/>
        <w:spacing w:before="12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1451"/>
        <w:gridCol w:w="140"/>
        <w:gridCol w:w="2491"/>
      </w:tblGrid>
      <w:tr>
        <w:trPr/>
        <w:tc>
          <w:tcPr>
            <w:tcW w:w="1451"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PNC BANK, NATIONAL ASSOCIATION,</w:t>
            </w:r>
          </w:p>
        </w:tc>
      </w:tr>
      <w:tr>
        <w:trPr/>
        <w:tc>
          <w:tcPr>
            <w:tcW w:w="4082" w:type="dxa"/>
            <w:gridSpan w:val="3"/>
            <w:tcBorders/>
          </w:tcPr>
          <w:p>
            <w:pPr>
              <w:pStyle w:val="TableContents"/>
              <w:bidi w:val="0"/>
              <w:spacing w:before="0" w:after="283"/>
              <w:jc w:val="left"/>
              <w:rPr/>
            </w:pPr>
            <w:r>
              <w:rPr/>
              <w:t>as Administrative Agent</w:t>
            </w:r>
          </w:p>
        </w:tc>
      </w:tr>
      <w:tr>
        <w:trPr>
          <w:trHeight w:val="240" w:hRule="atLeast"/>
        </w:trPr>
        <w:tc>
          <w:tcPr>
            <w:tcW w:w="1451" w:type="dxa"/>
            <w:tcBorders/>
            <w:vAlign w:val="center"/>
          </w:tcPr>
          <w:p>
            <w:pPr>
              <w:pStyle w:val="TableContents"/>
              <w:bidi w:val="0"/>
              <w:spacing w:before="0" w:after="283"/>
              <w:jc w:val="left"/>
              <w:rPr>
                <w:sz w:val="4"/>
                <w:szCs w:val="4"/>
              </w:rPr>
            </w:pPr>
            <w:r>
              <w:rPr>
                <w:sz w:val="4"/>
                <w:szCs w:val="4"/>
              </w:rPr>
            </w:r>
          </w:p>
        </w:tc>
        <w:tc>
          <w:tcPr>
            <w:tcW w:w="2631" w:type="dxa"/>
            <w:gridSpan w:val="2"/>
            <w:tcBorders/>
            <w:vAlign w:val="center"/>
          </w:tcPr>
          <w:p>
            <w:pPr>
              <w:pStyle w:val="TableContents"/>
              <w:bidi w:val="0"/>
              <w:spacing w:before="0" w:after="283"/>
              <w:jc w:val="left"/>
              <w:rPr>
                <w:sz w:val="4"/>
                <w:szCs w:val="4"/>
              </w:rPr>
            </w:pPr>
            <w:r>
              <w:rPr>
                <w:sz w:val="4"/>
                <w:szCs w:val="4"/>
              </w:rPr>
            </w:r>
          </w:p>
        </w:tc>
      </w:tr>
      <w:tr>
        <w:trPr/>
        <w:tc>
          <w:tcPr>
            <w:tcW w:w="1451" w:type="dxa"/>
            <w:tcBorders/>
          </w:tcPr>
          <w:p>
            <w:pPr>
              <w:pStyle w:val="TableContents"/>
              <w:bidi w:val="0"/>
              <w:spacing w:before="0" w:after="283"/>
              <w:jc w:val="left"/>
              <w:rPr/>
            </w:pPr>
            <w:r>
              <w:rPr/>
              <w:t>By:</w:t>
            </w:r>
          </w:p>
        </w:tc>
        <w:tc>
          <w:tcPr>
            <w:tcW w:w="140" w:type="dxa"/>
            <w:tcBorders/>
            <w:vAlign w:val="bottom"/>
          </w:tcPr>
          <w:p>
            <w:pPr>
              <w:pStyle w:val="TableContents"/>
              <w:bidi w:val="0"/>
              <w:spacing w:before="0" w:after="283"/>
              <w:jc w:val="left"/>
              <w:rPr/>
            </w:pPr>
            <w:r>
              <w:rPr/>
              <w:t> </w:t>
            </w:r>
          </w:p>
        </w:tc>
        <w:tc>
          <w:tcPr>
            <w:tcW w:w="2491" w:type="dxa"/>
            <w:tcBorders/>
          </w:tcPr>
          <w:p>
            <w:pPr>
              <w:pStyle w:val="TableContents"/>
              <w:pBdr>
                <w:bottom w:val="single" w:sz="2" w:space="1" w:color="000000"/>
              </w:pBdr>
              <w:bidi w:val="0"/>
              <w:spacing w:before="0" w:after="20"/>
              <w:jc w:val="left"/>
              <w:rPr/>
            </w:pPr>
            <w:r>
              <w:rPr/>
              <w:t> </w:t>
            </w:r>
          </w:p>
        </w:tc>
      </w:tr>
      <w:tr>
        <w:trPr/>
        <w:tc>
          <w:tcPr>
            <w:tcW w:w="1451" w:type="dxa"/>
            <w:tcBorders/>
          </w:tcPr>
          <w:p>
            <w:pPr>
              <w:pStyle w:val="TableContents"/>
              <w:bidi w:val="0"/>
              <w:spacing w:before="0" w:after="283"/>
              <w:jc w:val="left"/>
              <w:rPr/>
            </w:pPr>
            <w:r>
              <w:rPr/>
              <w:t>Name:</w:t>
            </w:r>
          </w:p>
        </w:tc>
        <w:tc>
          <w:tcPr>
            <w:tcW w:w="140" w:type="dxa"/>
            <w:tcBorders/>
            <w:vAlign w:val="bottom"/>
          </w:tcPr>
          <w:p>
            <w:pPr>
              <w:pStyle w:val="TableContents"/>
              <w:bidi w:val="0"/>
              <w:spacing w:before="0" w:after="283"/>
              <w:jc w:val="left"/>
              <w:rPr/>
            </w:pPr>
            <w:r>
              <w:rPr/>
              <w:t> </w:t>
            </w:r>
          </w:p>
        </w:tc>
        <w:tc>
          <w:tcPr>
            <w:tcW w:w="2491" w:type="dxa"/>
            <w:tcBorders/>
          </w:tcPr>
          <w:p>
            <w:pPr>
              <w:pStyle w:val="TableContents"/>
              <w:bidi w:val="0"/>
              <w:spacing w:before="0" w:after="283"/>
              <w:jc w:val="left"/>
              <w:rPr>
                <w:sz w:val="4"/>
                <w:szCs w:val="4"/>
              </w:rPr>
            </w:pPr>
            <w:r>
              <w:rPr>
                <w:sz w:val="4"/>
                <w:szCs w:val="4"/>
              </w:rPr>
            </w:r>
          </w:p>
        </w:tc>
      </w:tr>
      <w:tr>
        <w:trPr/>
        <w:tc>
          <w:tcPr>
            <w:tcW w:w="1451" w:type="dxa"/>
            <w:tcBorders/>
          </w:tcPr>
          <w:p>
            <w:pPr>
              <w:pStyle w:val="TableContents"/>
              <w:bidi w:val="0"/>
              <w:spacing w:before="0" w:after="283"/>
              <w:jc w:val="left"/>
              <w:rPr/>
            </w:pPr>
            <w:r>
              <w:rPr/>
              <w:t>Title:</w:t>
            </w:r>
          </w:p>
        </w:tc>
        <w:tc>
          <w:tcPr>
            <w:tcW w:w="140" w:type="dxa"/>
            <w:tcBorders/>
            <w:vAlign w:val="bottom"/>
          </w:tcPr>
          <w:p>
            <w:pPr>
              <w:pStyle w:val="TableContents"/>
              <w:bidi w:val="0"/>
              <w:spacing w:before="0" w:after="283"/>
              <w:jc w:val="left"/>
              <w:rPr/>
            </w:pPr>
            <w:r>
              <w:rPr/>
              <w:t> </w:t>
            </w:r>
          </w:p>
        </w:tc>
        <w:tc>
          <w:tcPr>
            <w:tcW w:w="2491" w:type="dxa"/>
            <w:tcBorders/>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PNC BANK, NATIONAL ASSOCIATION,</w:t>
            </w:r>
          </w:p>
          <w:p>
            <w:pPr>
              <w:pStyle w:val="TableContents"/>
              <w:bidi w:val="0"/>
              <w:spacing w:before="0" w:after="20"/>
              <w:jc w:val="left"/>
              <w:rPr>
                <w:rFonts w:ascii="Times New Roman" w:hAnsi="Times New Roman"/>
                <w:sz w:val="20"/>
              </w:rPr>
            </w:pPr>
            <w:r>
              <w:rPr>
                <w:rFonts w:ascii="Times New Roman" w:hAnsi="Times New Roman"/>
                <w:sz w:val="20"/>
              </w:rPr>
              <w:t>as Class A Lender Representative and a Class A Lender</w:t>
            </w:r>
          </w:p>
        </w:tc>
      </w:tr>
      <w:tr>
        <w:trPr>
          <w:trHeight w:val="240" w:hRule="atLeast"/>
        </w:trPr>
        <w:tc>
          <w:tcPr>
            <w:tcW w:w="1451" w:type="dxa"/>
            <w:tcBorders/>
            <w:vAlign w:val="center"/>
          </w:tcPr>
          <w:p>
            <w:pPr>
              <w:pStyle w:val="TableContents"/>
              <w:bidi w:val="0"/>
              <w:spacing w:before="0" w:after="283"/>
              <w:jc w:val="left"/>
              <w:rPr>
                <w:sz w:val="4"/>
                <w:szCs w:val="4"/>
              </w:rPr>
            </w:pPr>
            <w:r>
              <w:rPr>
                <w:sz w:val="4"/>
                <w:szCs w:val="4"/>
              </w:rPr>
            </w:r>
          </w:p>
        </w:tc>
        <w:tc>
          <w:tcPr>
            <w:tcW w:w="2631" w:type="dxa"/>
            <w:gridSpan w:val="2"/>
            <w:tcBorders/>
            <w:vAlign w:val="center"/>
          </w:tcPr>
          <w:p>
            <w:pPr>
              <w:pStyle w:val="TableContents"/>
              <w:bidi w:val="0"/>
              <w:spacing w:before="0" w:after="283"/>
              <w:jc w:val="left"/>
              <w:rPr>
                <w:sz w:val="4"/>
                <w:szCs w:val="4"/>
              </w:rPr>
            </w:pPr>
            <w:r>
              <w:rPr>
                <w:sz w:val="4"/>
                <w:szCs w:val="4"/>
              </w:rPr>
            </w:r>
          </w:p>
        </w:tc>
      </w:tr>
      <w:tr>
        <w:trPr/>
        <w:tc>
          <w:tcPr>
            <w:tcW w:w="1451" w:type="dxa"/>
            <w:tcBorders/>
          </w:tcPr>
          <w:p>
            <w:pPr>
              <w:pStyle w:val="TableContents"/>
              <w:bidi w:val="0"/>
              <w:spacing w:before="0" w:after="283"/>
              <w:jc w:val="left"/>
              <w:rPr/>
            </w:pPr>
            <w:r>
              <w:rPr/>
              <w:t>By:</w:t>
            </w:r>
          </w:p>
        </w:tc>
        <w:tc>
          <w:tcPr>
            <w:tcW w:w="140" w:type="dxa"/>
            <w:tcBorders/>
            <w:vAlign w:val="bottom"/>
          </w:tcPr>
          <w:p>
            <w:pPr>
              <w:pStyle w:val="TableContents"/>
              <w:bidi w:val="0"/>
              <w:spacing w:before="0" w:after="283"/>
              <w:jc w:val="left"/>
              <w:rPr/>
            </w:pPr>
            <w:r>
              <w:rPr/>
              <w:t> </w:t>
            </w:r>
          </w:p>
        </w:tc>
        <w:tc>
          <w:tcPr>
            <w:tcW w:w="2491" w:type="dxa"/>
            <w:tcBorders/>
          </w:tcPr>
          <w:p>
            <w:pPr>
              <w:pStyle w:val="TableContents"/>
              <w:pBdr>
                <w:bottom w:val="single" w:sz="2" w:space="1" w:color="000000"/>
              </w:pBdr>
              <w:bidi w:val="0"/>
              <w:spacing w:before="0" w:after="20"/>
              <w:jc w:val="left"/>
              <w:rPr/>
            </w:pPr>
            <w:r>
              <w:rPr/>
              <w:t> </w:t>
            </w:r>
          </w:p>
        </w:tc>
      </w:tr>
      <w:tr>
        <w:trPr/>
        <w:tc>
          <w:tcPr>
            <w:tcW w:w="1451" w:type="dxa"/>
            <w:tcBorders/>
          </w:tcPr>
          <w:p>
            <w:pPr>
              <w:pStyle w:val="TableContents"/>
              <w:bidi w:val="0"/>
              <w:spacing w:before="0" w:after="283"/>
              <w:jc w:val="left"/>
              <w:rPr/>
            </w:pPr>
            <w:r>
              <w:rPr/>
              <w:t>Name:</w:t>
            </w:r>
          </w:p>
        </w:tc>
        <w:tc>
          <w:tcPr>
            <w:tcW w:w="140" w:type="dxa"/>
            <w:tcBorders/>
            <w:vAlign w:val="bottom"/>
          </w:tcPr>
          <w:p>
            <w:pPr>
              <w:pStyle w:val="TableContents"/>
              <w:bidi w:val="0"/>
              <w:spacing w:before="0" w:after="283"/>
              <w:jc w:val="left"/>
              <w:rPr/>
            </w:pPr>
            <w:r>
              <w:rPr/>
              <w:t> </w:t>
            </w:r>
          </w:p>
        </w:tc>
        <w:tc>
          <w:tcPr>
            <w:tcW w:w="2491" w:type="dxa"/>
            <w:tcBorders/>
          </w:tcPr>
          <w:p>
            <w:pPr>
              <w:pStyle w:val="TableContents"/>
              <w:bidi w:val="0"/>
              <w:spacing w:before="0" w:after="283"/>
              <w:jc w:val="left"/>
              <w:rPr>
                <w:sz w:val="4"/>
                <w:szCs w:val="4"/>
              </w:rPr>
            </w:pPr>
            <w:r>
              <w:rPr>
                <w:sz w:val="4"/>
                <w:szCs w:val="4"/>
              </w:rPr>
            </w:r>
          </w:p>
        </w:tc>
      </w:tr>
      <w:tr>
        <w:trPr/>
        <w:tc>
          <w:tcPr>
            <w:tcW w:w="1451" w:type="dxa"/>
            <w:tcBorders/>
          </w:tcPr>
          <w:p>
            <w:pPr>
              <w:pStyle w:val="TableContents"/>
              <w:bidi w:val="0"/>
              <w:spacing w:before="0" w:after="283"/>
              <w:jc w:val="left"/>
              <w:rPr/>
            </w:pPr>
            <w:r>
              <w:rPr/>
              <w:t>Title:</w:t>
            </w:r>
          </w:p>
        </w:tc>
        <w:tc>
          <w:tcPr>
            <w:tcW w:w="140" w:type="dxa"/>
            <w:tcBorders/>
            <w:vAlign w:val="bottom"/>
          </w:tcPr>
          <w:p>
            <w:pPr>
              <w:pStyle w:val="TableContents"/>
              <w:bidi w:val="0"/>
              <w:spacing w:before="0" w:after="283"/>
              <w:jc w:val="left"/>
              <w:rPr/>
            </w:pPr>
            <w:r>
              <w:rPr/>
              <w:t> </w:t>
            </w:r>
          </w:p>
        </w:tc>
        <w:tc>
          <w:tcPr>
            <w:tcW w:w="2491" w:type="dxa"/>
            <w:tcBorders/>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PNC CAPITAL MARKETS LLC,</w:t>
            </w:r>
          </w:p>
          <w:p>
            <w:pPr>
              <w:pStyle w:val="TableContents"/>
              <w:bidi w:val="0"/>
              <w:spacing w:before="0" w:after="20"/>
              <w:jc w:val="left"/>
              <w:rPr>
                <w:rFonts w:ascii="Times New Roman" w:hAnsi="Times New Roman"/>
                <w:sz w:val="20"/>
              </w:rPr>
            </w:pPr>
            <w:r>
              <w:rPr>
                <w:rFonts w:ascii="Times New Roman" w:hAnsi="Times New Roman"/>
                <w:sz w:val="20"/>
              </w:rPr>
              <w:t>as Structuring Agent</w:t>
            </w:r>
          </w:p>
        </w:tc>
      </w:tr>
      <w:tr>
        <w:trPr>
          <w:trHeight w:val="240" w:hRule="atLeast"/>
        </w:trPr>
        <w:tc>
          <w:tcPr>
            <w:tcW w:w="1451" w:type="dxa"/>
            <w:tcBorders/>
            <w:vAlign w:val="center"/>
          </w:tcPr>
          <w:p>
            <w:pPr>
              <w:pStyle w:val="TableContents"/>
              <w:bidi w:val="0"/>
              <w:spacing w:before="0" w:after="283"/>
              <w:jc w:val="left"/>
              <w:rPr>
                <w:sz w:val="4"/>
                <w:szCs w:val="4"/>
              </w:rPr>
            </w:pPr>
            <w:r>
              <w:rPr>
                <w:sz w:val="4"/>
                <w:szCs w:val="4"/>
              </w:rPr>
            </w:r>
          </w:p>
        </w:tc>
        <w:tc>
          <w:tcPr>
            <w:tcW w:w="2631" w:type="dxa"/>
            <w:gridSpan w:val="2"/>
            <w:tcBorders/>
            <w:vAlign w:val="center"/>
          </w:tcPr>
          <w:p>
            <w:pPr>
              <w:pStyle w:val="TableContents"/>
              <w:bidi w:val="0"/>
              <w:spacing w:before="0" w:after="283"/>
              <w:jc w:val="left"/>
              <w:rPr>
                <w:sz w:val="4"/>
                <w:szCs w:val="4"/>
              </w:rPr>
            </w:pPr>
            <w:r>
              <w:rPr>
                <w:sz w:val="4"/>
                <w:szCs w:val="4"/>
              </w:rPr>
            </w:r>
          </w:p>
        </w:tc>
      </w:tr>
      <w:tr>
        <w:trPr/>
        <w:tc>
          <w:tcPr>
            <w:tcW w:w="1451" w:type="dxa"/>
            <w:tcBorders/>
          </w:tcPr>
          <w:p>
            <w:pPr>
              <w:pStyle w:val="TableContents"/>
              <w:bidi w:val="0"/>
              <w:spacing w:before="0" w:after="283"/>
              <w:jc w:val="left"/>
              <w:rPr/>
            </w:pPr>
            <w:r>
              <w:rPr/>
              <w:t>By:</w:t>
            </w:r>
          </w:p>
        </w:tc>
        <w:tc>
          <w:tcPr>
            <w:tcW w:w="140" w:type="dxa"/>
            <w:tcBorders/>
            <w:vAlign w:val="bottom"/>
          </w:tcPr>
          <w:p>
            <w:pPr>
              <w:pStyle w:val="TableContents"/>
              <w:bidi w:val="0"/>
              <w:spacing w:before="0" w:after="283"/>
              <w:jc w:val="left"/>
              <w:rPr/>
            </w:pPr>
            <w:r>
              <w:rPr/>
              <w:t> </w:t>
            </w:r>
          </w:p>
        </w:tc>
        <w:tc>
          <w:tcPr>
            <w:tcW w:w="2491" w:type="dxa"/>
            <w:tcBorders/>
          </w:tcPr>
          <w:p>
            <w:pPr>
              <w:pStyle w:val="TableContents"/>
              <w:pBdr>
                <w:bottom w:val="single" w:sz="2" w:space="1" w:color="000000"/>
              </w:pBdr>
              <w:bidi w:val="0"/>
              <w:spacing w:before="0" w:after="20"/>
              <w:jc w:val="left"/>
              <w:rPr/>
            </w:pPr>
            <w:r>
              <w:rPr/>
              <w:t> </w:t>
            </w:r>
          </w:p>
        </w:tc>
      </w:tr>
      <w:tr>
        <w:trPr/>
        <w:tc>
          <w:tcPr>
            <w:tcW w:w="1451" w:type="dxa"/>
            <w:tcBorders/>
          </w:tcPr>
          <w:p>
            <w:pPr>
              <w:pStyle w:val="TableContents"/>
              <w:bidi w:val="0"/>
              <w:spacing w:before="0" w:after="283"/>
              <w:jc w:val="left"/>
              <w:rPr/>
            </w:pPr>
            <w:r>
              <w:rPr/>
              <w:t>Name:</w:t>
            </w:r>
          </w:p>
        </w:tc>
        <w:tc>
          <w:tcPr>
            <w:tcW w:w="140" w:type="dxa"/>
            <w:tcBorders/>
            <w:vAlign w:val="bottom"/>
          </w:tcPr>
          <w:p>
            <w:pPr>
              <w:pStyle w:val="TableContents"/>
              <w:bidi w:val="0"/>
              <w:spacing w:before="0" w:after="283"/>
              <w:jc w:val="left"/>
              <w:rPr/>
            </w:pPr>
            <w:r>
              <w:rPr/>
              <w:t> </w:t>
            </w:r>
          </w:p>
        </w:tc>
        <w:tc>
          <w:tcPr>
            <w:tcW w:w="2491" w:type="dxa"/>
            <w:tcBorders/>
          </w:tcPr>
          <w:p>
            <w:pPr>
              <w:pStyle w:val="TableContents"/>
              <w:bidi w:val="0"/>
              <w:spacing w:before="0" w:after="283"/>
              <w:jc w:val="left"/>
              <w:rPr>
                <w:sz w:val="4"/>
                <w:szCs w:val="4"/>
              </w:rPr>
            </w:pPr>
            <w:r>
              <w:rPr>
                <w:sz w:val="4"/>
                <w:szCs w:val="4"/>
              </w:rPr>
            </w:r>
          </w:p>
        </w:tc>
      </w:tr>
      <w:tr>
        <w:trPr/>
        <w:tc>
          <w:tcPr>
            <w:tcW w:w="1451" w:type="dxa"/>
            <w:tcBorders/>
          </w:tcPr>
          <w:p>
            <w:pPr>
              <w:pStyle w:val="TableContents"/>
              <w:bidi w:val="0"/>
              <w:spacing w:before="0" w:after="283"/>
              <w:jc w:val="left"/>
              <w:rPr/>
            </w:pPr>
            <w:r>
              <w:rPr/>
              <w:t>Title:</w:t>
            </w:r>
          </w:p>
        </w:tc>
        <w:tc>
          <w:tcPr>
            <w:tcW w:w="140" w:type="dxa"/>
            <w:tcBorders/>
            <w:vAlign w:val="bottom"/>
          </w:tcPr>
          <w:p>
            <w:pPr>
              <w:pStyle w:val="TableContents"/>
              <w:bidi w:val="0"/>
              <w:spacing w:before="0" w:after="283"/>
              <w:jc w:val="left"/>
              <w:rPr/>
            </w:pPr>
            <w:r>
              <w:rPr/>
              <w:t> </w:t>
            </w:r>
          </w:p>
        </w:tc>
        <w:tc>
          <w:tcPr>
            <w:tcW w:w="249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81"/>
        <w:gridCol w:w="120"/>
        <w:gridCol w:w="3305"/>
        <w:gridCol w:w="120"/>
        <w:gridCol w:w="3379"/>
      </w:tblGrid>
      <w:tr>
        <w:trPr/>
        <w:tc>
          <w:tcPr>
            <w:tcW w:w="328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79" w:type="dxa"/>
            <w:tcBorders/>
            <w:vAlign w:val="center"/>
          </w:tcPr>
          <w:p>
            <w:pPr>
              <w:pStyle w:val="TableContents"/>
              <w:bidi w:val="0"/>
              <w:spacing w:before="0" w:after="283"/>
              <w:jc w:val="left"/>
              <w:rPr>
                <w:sz w:val="4"/>
                <w:szCs w:val="4"/>
              </w:rPr>
            </w:pPr>
            <w:r>
              <w:rPr>
                <w:sz w:val="4"/>
                <w:szCs w:val="4"/>
              </w:rPr>
            </w:r>
          </w:p>
        </w:tc>
      </w:tr>
      <w:tr>
        <w:trPr/>
        <w:tc>
          <w:tcPr>
            <w:tcW w:w="328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05" w:type="dxa"/>
            <w:tcBorders/>
          </w:tcPr>
          <w:p>
            <w:pPr>
              <w:pStyle w:val="TableContents"/>
              <w:bidi w:val="0"/>
              <w:spacing w:before="0" w:after="283"/>
              <w:jc w:val="center"/>
              <w:rPr>
                <w:strike/>
                <w:color w:val="FF0000"/>
              </w:rPr>
            </w:pPr>
            <w:r>
              <w:rPr>
                <w:strike/>
                <w:color w:val="FF0000"/>
              </w:rPr>
              <w:t>S-</w:t>
            </w:r>
          </w:p>
        </w:tc>
        <w:tc>
          <w:tcPr>
            <w:tcW w:w="120" w:type="dxa"/>
            <w:tcBorders/>
            <w:vAlign w:val="bottom"/>
          </w:tcPr>
          <w:p>
            <w:pPr>
              <w:pStyle w:val="TableContents"/>
              <w:bidi w:val="0"/>
              <w:spacing w:before="0" w:after="283"/>
              <w:jc w:val="left"/>
              <w:rPr/>
            </w:pPr>
            <w:r>
              <w:rPr/>
              <w:t>  </w:t>
            </w:r>
          </w:p>
        </w:tc>
        <w:tc>
          <w:tcPr>
            <w:tcW w:w="3379" w:type="dxa"/>
            <w:tcBorders/>
          </w:tcPr>
          <w:p>
            <w:pPr>
              <w:pStyle w:val="TableContents"/>
              <w:bidi w:val="0"/>
              <w:spacing w:before="0" w:after="283"/>
              <w:jc w:val="right"/>
              <w:rPr>
                <w:i/>
                <w:strike/>
                <w:color w:val="FF0000"/>
              </w:rPr>
            </w:pPr>
            <w:r>
              <w:rPr>
                <w:i/>
                <w:strike/>
                <w:color w:val="FF0000"/>
              </w:rPr>
              <w:t>Receivables Financing Agreement</w:t>
            </w:r>
          </w:p>
        </w:tc>
      </w:tr>
    </w:tbl>
    <w:p>
      <w:pPr>
        <w:pStyle w:val="TextBody"/>
        <w:bidi w:val="0"/>
        <w:spacing w:before="12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1662"/>
        <w:gridCol w:w="140"/>
        <w:gridCol w:w="2280"/>
      </w:tblGrid>
      <w:tr>
        <w:trPr/>
        <w:tc>
          <w:tcPr>
            <w:tcW w:w="1662"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strike/>
                <w:color w:val="FF0000"/>
              </w:rPr>
            </w:pPr>
            <w:r>
              <w:rPr>
                <w:strike/>
                <w:color w:val="FF0000"/>
              </w:rPr>
              <w:t>CENTERBRIDGE CREDIT CS, L.P.,</w:t>
            </w:r>
          </w:p>
        </w:tc>
      </w:tr>
      <w:tr>
        <w:trPr/>
        <w:tc>
          <w:tcPr>
            <w:tcW w:w="4082" w:type="dxa"/>
            <w:gridSpan w:val="3"/>
            <w:tcBorders/>
          </w:tcPr>
          <w:p>
            <w:pPr>
              <w:pStyle w:val="TableContents"/>
              <w:bidi w:val="0"/>
              <w:spacing w:before="0" w:after="283"/>
              <w:jc w:val="left"/>
              <w:rPr>
                <w:strike/>
                <w:color w:val="FF0000"/>
              </w:rPr>
            </w:pPr>
            <w:r>
              <w:rPr>
                <w:strike/>
                <w:color w:val="FF0000"/>
              </w:rPr>
              <w:t xml:space="preserve">as Class B Lender Representative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strike/>
                <w:color w:val="FF0000"/>
              </w:rPr>
            </w:pPr>
            <w:r>
              <w:rPr>
                <w:strike/>
                <w:color w:val="FF0000"/>
              </w:rPr>
              <w:t>By: Credit and SCIII General Partner, L.L.C., its general partner</w:t>
            </w:r>
          </w:p>
        </w:tc>
      </w:tr>
      <w:tr>
        <w:trPr>
          <w:trHeight w:val="240" w:hRule="atLeast"/>
        </w:trPr>
        <w:tc>
          <w:tcPr>
            <w:tcW w:w="1662" w:type="dxa"/>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r>
      <w:tr>
        <w:trPr/>
        <w:tc>
          <w:tcPr>
            <w:tcW w:w="1662" w:type="dxa"/>
            <w:tcBorders/>
          </w:tcPr>
          <w:p>
            <w:pPr>
              <w:pStyle w:val="TableContents"/>
              <w:bidi w:val="0"/>
              <w:spacing w:before="0" w:after="283"/>
              <w:jc w:val="left"/>
              <w:rPr>
                <w:strike/>
                <w:color w:val="FF0000"/>
              </w:rPr>
            </w:pPr>
            <w:r>
              <w:rPr>
                <w:strike/>
                <w:color w:val="FF0000"/>
              </w:rPr>
              <w:t>By:</w:t>
            </w:r>
          </w:p>
        </w:tc>
        <w:tc>
          <w:tcPr>
            <w:tcW w:w="140" w:type="dxa"/>
            <w:tcBorders/>
            <w:vAlign w:val="bottom"/>
          </w:tcPr>
          <w:p>
            <w:pPr>
              <w:pStyle w:val="TableContents"/>
              <w:bidi w:val="0"/>
              <w:spacing w:before="0" w:after="283"/>
              <w:jc w:val="left"/>
              <w:rPr/>
            </w:pPr>
            <w:r>
              <w:rPr/>
              <w:t> </w:t>
            </w:r>
          </w:p>
        </w:tc>
        <w:tc>
          <w:tcPr>
            <w:tcW w:w="2280" w:type="dxa"/>
            <w:tcBorders/>
          </w:tcPr>
          <w:p>
            <w:pPr>
              <w:pStyle w:val="TableContents"/>
              <w:pBdr>
                <w:bottom w:val="single" w:sz="2" w:space="1" w:color="000000"/>
              </w:pBdr>
              <w:bidi w:val="0"/>
              <w:spacing w:before="0" w:after="20"/>
              <w:jc w:val="left"/>
              <w:rPr/>
            </w:pPr>
            <w:r>
              <w:rPr/>
              <w:t> </w:t>
            </w:r>
          </w:p>
        </w:tc>
      </w:tr>
      <w:tr>
        <w:trPr/>
        <w:tc>
          <w:tcPr>
            <w:tcW w:w="1662" w:type="dxa"/>
            <w:tcBorders/>
          </w:tcPr>
          <w:p>
            <w:pPr>
              <w:pStyle w:val="TableContents"/>
              <w:bidi w:val="0"/>
              <w:spacing w:before="0" w:after="283"/>
              <w:jc w:val="left"/>
              <w:rPr>
                <w:strike/>
                <w:color w:val="FF0000"/>
              </w:rPr>
            </w:pPr>
            <w:r>
              <w:rPr>
                <w:strike/>
                <w:color w:val="FF0000"/>
              </w:rPr>
              <w:t>Name:</w:t>
            </w:r>
          </w:p>
        </w:tc>
        <w:tc>
          <w:tcPr>
            <w:tcW w:w="140" w:type="dxa"/>
            <w:tcBorders/>
            <w:vAlign w:val="bottom"/>
          </w:tcPr>
          <w:p>
            <w:pPr>
              <w:pStyle w:val="TableContents"/>
              <w:bidi w:val="0"/>
              <w:spacing w:before="0" w:after="283"/>
              <w:jc w:val="left"/>
              <w:rPr/>
            </w:pPr>
            <w:r>
              <w:rPr/>
              <w:t> </w:t>
            </w:r>
          </w:p>
        </w:tc>
        <w:tc>
          <w:tcPr>
            <w:tcW w:w="2280" w:type="dxa"/>
            <w:tcBorders/>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strike/>
                <w:color w:val="FF0000"/>
              </w:rPr>
            </w:pPr>
            <w:r>
              <w:rPr>
                <w:strike/>
                <w:color w:val="FF0000"/>
              </w:rPr>
              <w:t>Title: 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trike/>
                <w:color w:val="FF0000"/>
                <w:sz w:val="20"/>
              </w:rPr>
            </w:pPr>
            <w:r>
              <w:rPr>
                <w:rFonts w:ascii="Times New Roman" w:hAnsi="Times New Roman"/>
                <w:strike/>
                <w:color w:val="FF0000"/>
                <w:sz w:val="20"/>
              </w:rPr>
              <w:t>CENTERBRIDGE CREDIT CS, L.P.,</w:t>
            </w:r>
          </w:p>
          <w:p>
            <w:pPr>
              <w:pStyle w:val="TableContents"/>
              <w:bidi w:val="0"/>
              <w:spacing w:before="0" w:after="20"/>
              <w:jc w:val="left"/>
              <w:rPr>
                <w:rFonts w:ascii="Times New Roman" w:hAnsi="Times New Roman"/>
                <w:strike/>
                <w:color w:val="FF0000"/>
                <w:sz w:val="20"/>
              </w:rPr>
            </w:pPr>
            <w:r>
              <w:rPr>
                <w:rFonts w:ascii="Times New Roman" w:hAnsi="Times New Roman"/>
                <w:strike/>
                <w:color w:val="FF0000"/>
                <w:sz w:val="20"/>
              </w:rPr>
              <w:t xml:space="preserve">as a Class B Lender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trike/>
                <w:color w:val="FF0000"/>
                <w:sz w:val="20"/>
              </w:rPr>
            </w:pPr>
            <w:r>
              <w:rPr>
                <w:rFonts w:ascii="Times New Roman" w:hAnsi="Times New Roman"/>
                <w:strike/>
                <w:color w:val="FF0000"/>
                <w:sz w:val="20"/>
              </w:rPr>
              <w:t>By: Credit and SCIII General Partner, L.L.C.,</w:t>
            </w:r>
          </w:p>
          <w:p>
            <w:pPr>
              <w:pStyle w:val="TableContents"/>
              <w:bidi w:val="0"/>
              <w:spacing w:before="0" w:after="20"/>
              <w:jc w:val="left"/>
              <w:rPr>
                <w:rFonts w:ascii="Times New Roman" w:hAnsi="Times New Roman"/>
                <w:strike/>
                <w:color w:val="FF0000"/>
                <w:sz w:val="20"/>
              </w:rPr>
            </w:pPr>
            <w:r>
              <w:rPr>
                <w:rFonts w:ascii="Times New Roman" w:hAnsi="Times New Roman"/>
                <w:strike/>
                <w:color w:val="FF0000"/>
                <w:sz w:val="20"/>
              </w:rPr>
              <w:t>its general partner</w:t>
            </w:r>
          </w:p>
        </w:tc>
      </w:tr>
      <w:tr>
        <w:trPr>
          <w:trHeight w:val="240" w:hRule="atLeast"/>
        </w:trPr>
        <w:tc>
          <w:tcPr>
            <w:tcW w:w="1662" w:type="dxa"/>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r>
      <w:tr>
        <w:trPr/>
        <w:tc>
          <w:tcPr>
            <w:tcW w:w="1662" w:type="dxa"/>
            <w:tcBorders/>
          </w:tcPr>
          <w:p>
            <w:pPr>
              <w:pStyle w:val="TableContents"/>
              <w:bidi w:val="0"/>
              <w:spacing w:before="0" w:after="283"/>
              <w:jc w:val="left"/>
              <w:rPr>
                <w:strike/>
                <w:color w:val="FF0000"/>
              </w:rPr>
            </w:pPr>
            <w:r>
              <w:rPr>
                <w:strike/>
                <w:color w:val="FF0000"/>
              </w:rPr>
              <w:t>By:</w:t>
            </w:r>
          </w:p>
        </w:tc>
        <w:tc>
          <w:tcPr>
            <w:tcW w:w="140" w:type="dxa"/>
            <w:tcBorders/>
            <w:vAlign w:val="bottom"/>
          </w:tcPr>
          <w:p>
            <w:pPr>
              <w:pStyle w:val="TableContents"/>
              <w:bidi w:val="0"/>
              <w:spacing w:before="0" w:after="283"/>
              <w:jc w:val="left"/>
              <w:rPr/>
            </w:pPr>
            <w:r>
              <w:rPr/>
              <w:t> </w:t>
            </w:r>
          </w:p>
        </w:tc>
        <w:tc>
          <w:tcPr>
            <w:tcW w:w="2280" w:type="dxa"/>
            <w:tcBorders/>
          </w:tcPr>
          <w:p>
            <w:pPr>
              <w:pStyle w:val="TableContents"/>
              <w:bidi w:val="0"/>
              <w:spacing w:before="0" w:after="283"/>
              <w:jc w:val="left"/>
              <w:rPr>
                <w:sz w:val="4"/>
                <w:szCs w:val="4"/>
              </w:rPr>
            </w:pPr>
            <w:r>
              <w:rPr>
                <w:sz w:val="4"/>
                <w:szCs w:val="4"/>
              </w:rPr>
            </w:r>
          </w:p>
        </w:tc>
      </w:tr>
      <w:tr>
        <w:trPr/>
        <w:tc>
          <w:tcPr>
            <w:tcW w:w="1662" w:type="dxa"/>
            <w:tcBorders/>
          </w:tcPr>
          <w:p>
            <w:pPr>
              <w:pStyle w:val="TableContents"/>
              <w:bidi w:val="0"/>
              <w:spacing w:before="0" w:after="283"/>
              <w:jc w:val="left"/>
              <w:rPr>
                <w:strike/>
                <w:color w:val="FF0000"/>
              </w:rPr>
            </w:pPr>
            <w:r>
              <w:rPr>
                <w:strike/>
                <w:color w:val="FF0000"/>
              </w:rPr>
              <w:t>Name:</w:t>
            </w:r>
          </w:p>
        </w:tc>
        <w:tc>
          <w:tcPr>
            <w:tcW w:w="140" w:type="dxa"/>
            <w:tcBorders/>
            <w:vAlign w:val="bottom"/>
          </w:tcPr>
          <w:p>
            <w:pPr>
              <w:pStyle w:val="TableContents"/>
              <w:bidi w:val="0"/>
              <w:spacing w:before="0" w:after="283"/>
              <w:jc w:val="left"/>
              <w:rPr/>
            </w:pPr>
            <w:r>
              <w:rPr/>
              <w:t> </w:t>
            </w:r>
          </w:p>
        </w:tc>
        <w:tc>
          <w:tcPr>
            <w:tcW w:w="2280" w:type="dxa"/>
            <w:tcBorders/>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strike/>
                <w:color w:val="FF0000"/>
              </w:rPr>
            </w:pPr>
            <w:r>
              <w:rPr>
                <w:strike/>
                <w:color w:val="FF0000"/>
              </w:rPr>
              <w:t>Title: 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strike/>
                <w:color w:val="FF0000"/>
              </w:rPr>
            </w:pPr>
            <w:r>
              <w:rPr>
                <w:strike/>
                <w:color w:val="FF0000"/>
              </w:rPr>
              <w:t>CENTERBRIDGE SPECIAL CREDIT</w:t>
            </w:r>
          </w:p>
        </w:tc>
      </w:tr>
      <w:tr>
        <w:trPr/>
        <w:tc>
          <w:tcPr>
            <w:tcW w:w="4082" w:type="dxa"/>
            <w:gridSpan w:val="3"/>
            <w:tcBorders/>
          </w:tcPr>
          <w:p>
            <w:pPr>
              <w:pStyle w:val="TableContents"/>
              <w:bidi w:val="0"/>
              <w:spacing w:before="0" w:after="0"/>
              <w:jc w:val="left"/>
              <w:rPr>
                <w:rFonts w:ascii="Times New Roman" w:hAnsi="Times New Roman"/>
                <w:strike/>
                <w:color w:val="FF0000"/>
                <w:sz w:val="20"/>
              </w:rPr>
            </w:pPr>
            <w:r>
              <w:rPr>
                <w:rFonts w:ascii="Times New Roman" w:hAnsi="Times New Roman"/>
                <w:strike/>
                <w:color w:val="FF0000"/>
                <w:sz w:val="20"/>
              </w:rPr>
              <w:t>PARTNERS IV—I CO-INVEST, L.P,</w:t>
            </w:r>
          </w:p>
          <w:p>
            <w:pPr>
              <w:pStyle w:val="TableContents"/>
              <w:bidi w:val="0"/>
              <w:spacing w:before="0" w:after="20"/>
              <w:jc w:val="left"/>
              <w:rPr>
                <w:rFonts w:ascii="Times New Roman" w:hAnsi="Times New Roman"/>
                <w:strike/>
                <w:color w:val="FF0000"/>
                <w:sz w:val="20"/>
              </w:rPr>
            </w:pPr>
            <w:r>
              <w:rPr>
                <w:rFonts w:ascii="Times New Roman" w:hAnsi="Times New Roman"/>
                <w:strike/>
                <w:color w:val="FF0000"/>
                <w:sz w:val="20"/>
              </w:rPr>
              <w:t xml:space="preserve">as a Class B Lender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strike/>
                <w:color w:val="FF0000"/>
              </w:rPr>
            </w:pPr>
            <w:r>
              <w:rPr>
                <w:strike/>
                <w:color w:val="FF0000"/>
              </w:rPr>
              <w:t>By: Centerbridge Special Credit Partners</w:t>
            </w:r>
          </w:p>
        </w:tc>
      </w:tr>
      <w:tr>
        <w:trPr/>
        <w:tc>
          <w:tcPr>
            <w:tcW w:w="4082" w:type="dxa"/>
            <w:gridSpan w:val="3"/>
            <w:tcBorders/>
          </w:tcPr>
          <w:p>
            <w:pPr>
              <w:pStyle w:val="TableContents"/>
              <w:bidi w:val="0"/>
              <w:spacing w:before="0" w:after="283"/>
              <w:jc w:val="left"/>
              <w:rPr>
                <w:strike/>
                <w:color w:val="FF0000"/>
              </w:rPr>
            </w:pPr>
            <w:r>
              <w:rPr>
                <w:strike/>
                <w:color w:val="FF0000"/>
              </w:rPr>
              <w:t>General Partner IV, L.P., its general partner</w:t>
            </w:r>
          </w:p>
        </w:tc>
      </w:tr>
      <w:tr>
        <w:trPr/>
        <w:tc>
          <w:tcPr>
            <w:tcW w:w="4082" w:type="dxa"/>
            <w:gridSpan w:val="3"/>
            <w:tcBorders/>
          </w:tcPr>
          <w:p>
            <w:pPr>
              <w:pStyle w:val="TableContents"/>
              <w:bidi w:val="0"/>
              <w:spacing w:before="0" w:after="283"/>
              <w:jc w:val="left"/>
              <w:rPr>
                <w:strike/>
                <w:color w:val="FF0000"/>
              </w:rPr>
            </w:pPr>
            <w:r>
              <w:rPr>
                <w:strike/>
                <w:color w:val="FF0000"/>
              </w:rPr>
              <w:t>By: CSCP IV Cayman GP, Ltd.</w:t>
            </w:r>
          </w:p>
        </w:tc>
      </w:tr>
      <w:tr>
        <w:trPr>
          <w:trHeight w:val="240" w:hRule="atLeast"/>
        </w:trPr>
        <w:tc>
          <w:tcPr>
            <w:tcW w:w="1662" w:type="dxa"/>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r>
      <w:tr>
        <w:trPr/>
        <w:tc>
          <w:tcPr>
            <w:tcW w:w="1662" w:type="dxa"/>
            <w:tcBorders/>
          </w:tcPr>
          <w:p>
            <w:pPr>
              <w:pStyle w:val="TableContents"/>
              <w:bidi w:val="0"/>
              <w:spacing w:before="0" w:after="283"/>
              <w:jc w:val="left"/>
              <w:rPr>
                <w:strike/>
                <w:color w:val="FF0000"/>
              </w:rPr>
            </w:pPr>
            <w:r>
              <w:rPr>
                <w:strike/>
                <w:color w:val="FF0000"/>
              </w:rPr>
              <w:t>By:</w:t>
            </w:r>
          </w:p>
        </w:tc>
        <w:tc>
          <w:tcPr>
            <w:tcW w:w="140" w:type="dxa"/>
            <w:tcBorders/>
            <w:vAlign w:val="bottom"/>
          </w:tcPr>
          <w:p>
            <w:pPr>
              <w:pStyle w:val="TableContents"/>
              <w:bidi w:val="0"/>
              <w:spacing w:before="0" w:after="283"/>
              <w:jc w:val="left"/>
              <w:rPr/>
            </w:pPr>
            <w:r>
              <w:rPr/>
              <w:t> </w:t>
            </w:r>
          </w:p>
        </w:tc>
        <w:tc>
          <w:tcPr>
            <w:tcW w:w="2280" w:type="dxa"/>
            <w:tcBorders/>
          </w:tcPr>
          <w:p>
            <w:pPr>
              <w:pStyle w:val="TableContents"/>
              <w:pBdr>
                <w:bottom w:val="single" w:sz="2" w:space="1" w:color="000000"/>
              </w:pBdr>
              <w:bidi w:val="0"/>
              <w:spacing w:before="0" w:after="20"/>
              <w:jc w:val="left"/>
              <w:rPr/>
            </w:pPr>
            <w:r>
              <w:rPr/>
              <w:t> </w:t>
            </w:r>
          </w:p>
        </w:tc>
      </w:tr>
      <w:tr>
        <w:trPr/>
        <w:tc>
          <w:tcPr>
            <w:tcW w:w="1662" w:type="dxa"/>
            <w:tcBorders/>
          </w:tcPr>
          <w:p>
            <w:pPr>
              <w:pStyle w:val="TableContents"/>
              <w:bidi w:val="0"/>
              <w:spacing w:before="0" w:after="283"/>
              <w:jc w:val="left"/>
              <w:rPr>
                <w:strike/>
                <w:color w:val="FF0000"/>
              </w:rPr>
            </w:pPr>
            <w:r>
              <w:rPr>
                <w:strike/>
                <w:color w:val="FF0000"/>
              </w:rPr>
              <w:t>Name:</w:t>
            </w:r>
          </w:p>
        </w:tc>
        <w:tc>
          <w:tcPr>
            <w:tcW w:w="140" w:type="dxa"/>
            <w:tcBorders/>
            <w:vAlign w:val="bottom"/>
          </w:tcPr>
          <w:p>
            <w:pPr>
              <w:pStyle w:val="TableContents"/>
              <w:bidi w:val="0"/>
              <w:spacing w:before="0" w:after="283"/>
              <w:jc w:val="left"/>
              <w:rPr/>
            </w:pPr>
            <w:r>
              <w:rPr/>
              <w:t> </w:t>
            </w:r>
          </w:p>
        </w:tc>
        <w:tc>
          <w:tcPr>
            <w:tcW w:w="2280" w:type="dxa"/>
            <w:tcBorders/>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strike/>
                <w:color w:val="FF0000"/>
              </w:rPr>
            </w:pPr>
            <w:r>
              <w:rPr>
                <w:strike/>
                <w:color w:val="FF0000"/>
              </w:rPr>
              <w:t>Title: 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trike/>
                <w:color w:val="FF0000"/>
                <w:sz w:val="20"/>
              </w:rPr>
            </w:pPr>
            <w:r>
              <w:rPr>
                <w:rFonts w:ascii="Times New Roman" w:hAnsi="Times New Roman"/>
                <w:strike/>
                <w:color w:val="FF0000"/>
                <w:sz w:val="20"/>
              </w:rPr>
              <w:t>CB SA FUND, L.P,</w:t>
            </w:r>
          </w:p>
          <w:p>
            <w:pPr>
              <w:pStyle w:val="TableContents"/>
              <w:bidi w:val="0"/>
              <w:spacing w:before="0" w:after="20"/>
              <w:jc w:val="left"/>
              <w:rPr>
                <w:rFonts w:ascii="Times New Roman" w:hAnsi="Times New Roman"/>
                <w:strike/>
                <w:color w:val="FF0000"/>
                <w:sz w:val="20"/>
              </w:rPr>
            </w:pPr>
            <w:r>
              <w:rPr>
                <w:rFonts w:ascii="Times New Roman" w:hAnsi="Times New Roman"/>
                <w:strike/>
                <w:color w:val="FF0000"/>
                <w:sz w:val="20"/>
              </w:rPr>
              <w:t xml:space="preserve">as a Class B Lender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strike/>
                <w:color w:val="FF0000"/>
              </w:rPr>
            </w:pPr>
            <w:r>
              <w:rPr>
                <w:strike/>
                <w:color w:val="FF0000"/>
              </w:rPr>
              <w:t>By: Centerbridge Special Credit Partners</w:t>
            </w:r>
          </w:p>
        </w:tc>
      </w:tr>
      <w:tr>
        <w:trPr/>
        <w:tc>
          <w:tcPr>
            <w:tcW w:w="4082" w:type="dxa"/>
            <w:gridSpan w:val="3"/>
            <w:tcBorders/>
          </w:tcPr>
          <w:p>
            <w:pPr>
              <w:pStyle w:val="TableContents"/>
              <w:bidi w:val="0"/>
              <w:spacing w:before="0" w:after="283"/>
              <w:jc w:val="left"/>
              <w:rPr>
                <w:strike/>
                <w:color w:val="FF0000"/>
              </w:rPr>
            </w:pPr>
            <w:r>
              <w:rPr>
                <w:strike/>
                <w:color w:val="FF0000"/>
              </w:rPr>
              <w:t>General Partner IV, L.P., its general partner</w:t>
            </w:r>
          </w:p>
        </w:tc>
      </w:tr>
      <w:tr>
        <w:trPr/>
        <w:tc>
          <w:tcPr>
            <w:tcW w:w="4082" w:type="dxa"/>
            <w:gridSpan w:val="3"/>
            <w:tcBorders/>
          </w:tcPr>
          <w:p>
            <w:pPr>
              <w:pStyle w:val="TableContents"/>
              <w:bidi w:val="0"/>
              <w:spacing w:before="0" w:after="283"/>
              <w:jc w:val="left"/>
              <w:rPr>
                <w:strike/>
                <w:color w:val="FF0000"/>
              </w:rPr>
            </w:pPr>
            <w:r>
              <w:rPr>
                <w:strike/>
                <w:color w:val="FF0000"/>
              </w:rPr>
              <w:t>By: CSCP IV Cayman GP, Ltd., its general</w:t>
            </w:r>
          </w:p>
        </w:tc>
      </w:tr>
      <w:tr>
        <w:trPr/>
        <w:tc>
          <w:tcPr>
            <w:tcW w:w="1662" w:type="dxa"/>
            <w:tcBorders/>
          </w:tcPr>
          <w:p>
            <w:pPr>
              <w:pStyle w:val="TableContents"/>
              <w:bidi w:val="0"/>
              <w:spacing w:before="0" w:after="283"/>
              <w:jc w:val="left"/>
              <w:rPr>
                <w:strike/>
                <w:color w:val="FF0000"/>
              </w:rPr>
            </w:pPr>
            <w:r>
              <w:rPr>
                <w:strike/>
                <w:color w:val="FF0000"/>
              </w:rPr>
              <w:t>Partner</w:t>
            </w:r>
          </w:p>
        </w:tc>
        <w:tc>
          <w:tcPr>
            <w:tcW w:w="140" w:type="dxa"/>
            <w:tcBorders/>
            <w:vAlign w:val="bottom"/>
          </w:tcPr>
          <w:p>
            <w:pPr>
              <w:pStyle w:val="TableContents"/>
              <w:bidi w:val="0"/>
              <w:spacing w:before="0" w:after="283"/>
              <w:jc w:val="left"/>
              <w:rPr/>
            </w:pPr>
            <w:r>
              <w:rPr/>
              <w:t> </w:t>
            </w:r>
          </w:p>
        </w:tc>
        <w:tc>
          <w:tcPr>
            <w:tcW w:w="2280" w:type="dxa"/>
            <w:tcBorders/>
          </w:tcPr>
          <w:p>
            <w:pPr>
              <w:pStyle w:val="TableContents"/>
              <w:bidi w:val="0"/>
              <w:spacing w:before="0" w:after="283"/>
              <w:jc w:val="left"/>
              <w:rPr>
                <w:sz w:val="4"/>
                <w:szCs w:val="4"/>
              </w:rPr>
            </w:pPr>
            <w:r>
              <w:rPr>
                <w:sz w:val="4"/>
                <w:szCs w:val="4"/>
              </w:rPr>
            </w:r>
          </w:p>
        </w:tc>
      </w:tr>
      <w:tr>
        <w:trPr>
          <w:trHeight w:val="240" w:hRule="atLeast"/>
        </w:trPr>
        <w:tc>
          <w:tcPr>
            <w:tcW w:w="1662" w:type="dxa"/>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r>
      <w:tr>
        <w:trPr/>
        <w:tc>
          <w:tcPr>
            <w:tcW w:w="1662" w:type="dxa"/>
            <w:tcBorders/>
          </w:tcPr>
          <w:p>
            <w:pPr>
              <w:pStyle w:val="TableContents"/>
              <w:bidi w:val="0"/>
              <w:spacing w:before="0" w:after="283"/>
              <w:jc w:val="left"/>
              <w:rPr>
                <w:strike/>
                <w:color w:val="FF0000"/>
              </w:rPr>
            </w:pPr>
            <w:r>
              <w:rPr>
                <w:strike/>
                <w:color w:val="FF0000"/>
              </w:rPr>
              <w:t>By:</w:t>
            </w:r>
          </w:p>
        </w:tc>
        <w:tc>
          <w:tcPr>
            <w:tcW w:w="140" w:type="dxa"/>
            <w:tcBorders/>
            <w:vAlign w:val="bottom"/>
          </w:tcPr>
          <w:p>
            <w:pPr>
              <w:pStyle w:val="TableContents"/>
              <w:bidi w:val="0"/>
              <w:spacing w:before="0" w:after="283"/>
              <w:jc w:val="left"/>
              <w:rPr/>
            </w:pPr>
            <w:r>
              <w:rPr/>
              <w:t> </w:t>
            </w:r>
          </w:p>
        </w:tc>
        <w:tc>
          <w:tcPr>
            <w:tcW w:w="2280" w:type="dxa"/>
            <w:tcBorders/>
          </w:tcPr>
          <w:p>
            <w:pPr>
              <w:pStyle w:val="TableContents"/>
              <w:bidi w:val="0"/>
              <w:spacing w:before="0" w:after="283"/>
              <w:jc w:val="left"/>
              <w:rPr>
                <w:sz w:val="4"/>
                <w:szCs w:val="4"/>
              </w:rPr>
            </w:pPr>
            <w:r>
              <w:rPr>
                <w:sz w:val="4"/>
                <w:szCs w:val="4"/>
              </w:rPr>
            </w:r>
          </w:p>
        </w:tc>
      </w:tr>
      <w:tr>
        <w:trPr/>
        <w:tc>
          <w:tcPr>
            <w:tcW w:w="1662" w:type="dxa"/>
            <w:tcBorders/>
          </w:tcPr>
          <w:p>
            <w:pPr>
              <w:pStyle w:val="TableContents"/>
              <w:bidi w:val="0"/>
              <w:spacing w:before="0" w:after="283"/>
              <w:jc w:val="left"/>
              <w:rPr>
                <w:strike/>
                <w:color w:val="FF0000"/>
              </w:rPr>
            </w:pPr>
            <w:r>
              <w:rPr>
                <w:strike/>
                <w:color w:val="FF0000"/>
              </w:rPr>
              <w:t>Name:</w:t>
            </w:r>
          </w:p>
        </w:tc>
        <w:tc>
          <w:tcPr>
            <w:tcW w:w="140" w:type="dxa"/>
            <w:tcBorders/>
            <w:vAlign w:val="bottom"/>
          </w:tcPr>
          <w:p>
            <w:pPr>
              <w:pStyle w:val="TableContents"/>
              <w:bidi w:val="0"/>
              <w:spacing w:before="0" w:after="283"/>
              <w:jc w:val="left"/>
              <w:rPr/>
            </w:pPr>
            <w:r>
              <w:rPr/>
              <w:t> </w:t>
            </w:r>
          </w:p>
        </w:tc>
        <w:tc>
          <w:tcPr>
            <w:tcW w:w="2280" w:type="dxa"/>
            <w:tcBorders/>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strike/>
                <w:color w:val="FF0000"/>
              </w:rPr>
            </w:pPr>
            <w:r>
              <w:rPr>
                <w:strike/>
                <w:color w:val="FF0000"/>
              </w:rPr>
              <w:t>Title: Authorized Signatory</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81"/>
        <w:gridCol w:w="120"/>
        <w:gridCol w:w="3305"/>
        <w:gridCol w:w="120"/>
        <w:gridCol w:w="3379"/>
      </w:tblGrid>
      <w:tr>
        <w:trPr/>
        <w:tc>
          <w:tcPr>
            <w:tcW w:w="328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79" w:type="dxa"/>
            <w:tcBorders/>
            <w:vAlign w:val="center"/>
          </w:tcPr>
          <w:p>
            <w:pPr>
              <w:pStyle w:val="TableContents"/>
              <w:bidi w:val="0"/>
              <w:spacing w:before="0" w:after="283"/>
              <w:jc w:val="left"/>
              <w:rPr>
                <w:sz w:val="4"/>
                <w:szCs w:val="4"/>
              </w:rPr>
            </w:pPr>
            <w:r>
              <w:rPr>
                <w:sz w:val="4"/>
                <w:szCs w:val="4"/>
              </w:rPr>
            </w:r>
          </w:p>
        </w:tc>
      </w:tr>
      <w:tr>
        <w:trPr/>
        <w:tc>
          <w:tcPr>
            <w:tcW w:w="328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05" w:type="dxa"/>
            <w:tcBorders/>
          </w:tcPr>
          <w:p>
            <w:pPr>
              <w:pStyle w:val="TableContents"/>
              <w:bidi w:val="0"/>
              <w:spacing w:before="0" w:after="283"/>
              <w:jc w:val="center"/>
              <w:rPr>
                <w:strike/>
                <w:color w:val="FF0000"/>
              </w:rPr>
            </w:pPr>
            <w:r>
              <w:rPr>
                <w:strike/>
                <w:color w:val="FF0000"/>
              </w:rPr>
              <w:t>S-</w:t>
            </w:r>
          </w:p>
        </w:tc>
        <w:tc>
          <w:tcPr>
            <w:tcW w:w="120" w:type="dxa"/>
            <w:tcBorders/>
            <w:vAlign w:val="bottom"/>
          </w:tcPr>
          <w:p>
            <w:pPr>
              <w:pStyle w:val="TableContents"/>
              <w:bidi w:val="0"/>
              <w:spacing w:before="0" w:after="283"/>
              <w:jc w:val="left"/>
              <w:rPr/>
            </w:pPr>
            <w:r>
              <w:rPr/>
              <w:t>  </w:t>
            </w:r>
          </w:p>
        </w:tc>
        <w:tc>
          <w:tcPr>
            <w:tcW w:w="3379" w:type="dxa"/>
            <w:tcBorders/>
          </w:tcPr>
          <w:p>
            <w:pPr>
              <w:pStyle w:val="TableContents"/>
              <w:bidi w:val="0"/>
              <w:spacing w:before="0" w:after="283"/>
              <w:jc w:val="right"/>
              <w:rPr>
                <w:i/>
                <w:strike/>
                <w:color w:val="FF0000"/>
              </w:rPr>
            </w:pPr>
            <w:r>
              <w:rPr>
                <w:i/>
                <w:strike/>
                <w:color w:val="FF0000"/>
              </w:rPr>
              <w:t>Receivables Financing Agreement</w:t>
            </w:r>
          </w:p>
        </w:tc>
      </w:tr>
    </w:tbl>
    <w:p>
      <w:pPr>
        <w:pStyle w:val="TextBody"/>
        <w:bidi w:val="0"/>
        <w:spacing w:before="12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1881"/>
        <w:gridCol w:w="121"/>
        <w:gridCol w:w="2080"/>
      </w:tblGrid>
      <w:tr>
        <w:trPr/>
        <w:tc>
          <w:tcPr>
            <w:tcW w:w="188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strike/>
                <w:color w:val="FF0000"/>
              </w:rPr>
            </w:pPr>
            <w:r>
              <w:rPr>
                <w:strike/>
                <w:color w:val="FF0000"/>
              </w:rPr>
              <w:t>CB NC CO-INVEST, L.P., as a Class B Lender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strike/>
                <w:color w:val="FF0000"/>
              </w:rPr>
            </w:pPr>
            <w:r>
              <w:rPr>
                <w:strike/>
                <w:color w:val="FF0000"/>
              </w:rPr>
              <w:t>By: CB NC Co-Invest GP, L.P., its general partner</w:t>
            </w:r>
          </w:p>
        </w:tc>
      </w:tr>
      <w:tr>
        <w:trPr/>
        <w:tc>
          <w:tcPr>
            <w:tcW w:w="4082" w:type="dxa"/>
            <w:gridSpan w:val="3"/>
            <w:tcBorders/>
          </w:tcPr>
          <w:p>
            <w:pPr>
              <w:pStyle w:val="TableContents"/>
              <w:bidi w:val="0"/>
              <w:spacing w:before="0" w:after="283"/>
              <w:jc w:val="left"/>
              <w:rPr>
                <w:strike/>
                <w:color w:val="FF0000"/>
              </w:rPr>
            </w:pPr>
            <w:r>
              <w:rPr>
                <w:strike/>
                <w:color w:val="FF0000"/>
              </w:rPr>
              <w:t>By: CSCP IV Cayman GP, Ltd., its general partner</w:t>
            </w:r>
          </w:p>
        </w:tc>
      </w:tr>
      <w:tr>
        <w:trPr>
          <w:trHeight w:val="240" w:hRule="atLeast"/>
        </w:trPr>
        <w:tc>
          <w:tcPr>
            <w:tcW w:w="1881" w:type="dxa"/>
            <w:tcBorders/>
            <w:vAlign w:val="center"/>
          </w:tcPr>
          <w:p>
            <w:pPr>
              <w:pStyle w:val="TableContents"/>
              <w:bidi w:val="0"/>
              <w:spacing w:before="0" w:after="283"/>
              <w:jc w:val="left"/>
              <w:rPr>
                <w:sz w:val="4"/>
                <w:szCs w:val="4"/>
              </w:rPr>
            </w:pPr>
            <w:r>
              <w:rPr>
                <w:sz w:val="4"/>
                <w:szCs w:val="4"/>
              </w:rPr>
            </w:r>
          </w:p>
        </w:tc>
        <w:tc>
          <w:tcPr>
            <w:tcW w:w="2201" w:type="dxa"/>
            <w:gridSpan w:val="2"/>
            <w:tcBorders/>
            <w:vAlign w:val="center"/>
          </w:tcPr>
          <w:p>
            <w:pPr>
              <w:pStyle w:val="TableContents"/>
              <w:bidi w:val="0"/>
              <w:spacing w:before="0" w:after="283"/>
              <w:jc w:val="left"/>
              <w:rPr>
                <w:sz w:val="4"/>
                <w:szCs w:val="4"/>
              </w:rPr>
            </w:pPr>
            <w:r>
              <w:rPr>
                <w:sz w:val="4"/>
                <w:szCs w:val="4"/>
              </w:rPr>
            </w:r>
          </w:p>
        </w:tc>
      </w:tr>
      <w:tr>
        <w:trPr/>
        <w:tc>
          <w:tcPr>
            <w:tcW w:w="1881" w:type="dxa"/>
            <w:tcBorders/>
          </w:tcPr>
          <w:p>
            <w:pPr>
              <w:pStyle w:val="TableContents"/>
              <w:bidi w:val="0"/>
              <w:spacing w:before="0" w:after="283"/>
              <w:jc w:val="left"/>
              <w:rPr>
                <w:strike/>
                <w:color w:val="FF0000"/>
              </w:rPr>
            </w:pPr>
            <w:r>
              <w:rPr>
                <w:strike/>
                <w:color w:val="FF0000"/>
              </w:rPr>
              <w:t>By:</w:t>
            </w:r>
          </w:p>
        </w:tc>
        <w:tc>
          <w:tcPr>
            <w:tcW w:w="121" w:type="dxa"/>
            <w:tcBorders/>
            <w:vAlign w:val="bottom"/>
          </w:tcPr>
          <w:p>
            <w:pPr>
              <w:pStyle w:val="TableContents"/>
              <w:bidi w:val="0"/>
              <w:spacing w:before="0" w:after="283"/>
              <w:jc w:val="left"/>
              <w:rPr/>
            </w:pPr>
            <w:r>
              <w:rPr/>
              <w:t> </w:t>
            </w:r>
          </w:p>
        </w:tc>
        <w:tc>
          <w:tcPr>
            <w:tcW w:w="2080" w:type="dxa"/>
            <w:tcBorders/>
          </w:tcPr>
          <w:p>
            <w:pPr>
              <w:pStyle w:val="TableContents"/>
              <w:pBdr>
                <w:bottom w:val="single" w:sz="2" w:space="1" w:color="000000"/>
              </w:pBdr>
              <w:bidi w:val="0"/>
              <w:spacing w:before="0" w:after="20"/>
              <w:jc w:val="left"/>
              <w:rPr/>
            </w:pPr>
            <w:r>
              <w:rPr/>
              <w:t> </w:t>
            </w:r>
          </w:p>
        </w:tc>
      </w:tr>
      <w:tr>
        <w:trPr/>
        <w:tc>
          <w:tcPr>
            <w:tcW w:w="1881" w:type="dxa"/>
            <w:tcBorders/>
          </w:tcPr>
          <w:p>
            <w:pPr>
              <w:pStyle w:val="TableContents"/>
              <w:bidi w:val="0"/>
              <w:spacing w:before="0" w:after="283"/>
              <w:jc w:val="left"/>
              <w:rPr>
                <w:strike/>
                <w:color w:val="FF0000"/>
              </w:rPr>
            </w:pPr>
            <w:r>
              <w:rPr>
                <w:strike/>
                <w:color w:val="FF0000"/>
              </w:rPr>
              <w:t>Name:</w:t>
            </w:r>
          </w:p>
        </w:tc>
        <w:tc>
          <w:tcPr>
            <w:tcW w:w="121" w:type="dxa"/>
            <w:tcBorders/>
            <w:vAlign w:val="bottom"/>
          </w:tcPr>
          <w:p>
            <w:pPr>
              <w:pStyle w:val="TableContents"/>
              <w:bidi w:val="0"/>
              <w:spacing w:before="0" w:after="283"/>
              <w:jc w:val="left"/>
              <w:rPr/>
            </w:pPr>
            <w:r>
              <w:rPr/>
              <w:t> </w:t>
            </w:r>
          </w:p>
        </w:tc>
        <w:tc>
          <w:tcPr>
            <w:tcW w:w="2080" w:type="dxa"/>
            <w:tcBorders/>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strike/>
                <w:color w:val="FF0000"/>
              </w:rPr>
            </w:pPr>
            <w:r>
              <w:rPr>
                <w:strike/>
                <w:color w:val="FF0000"/>
              </w:rPr>
              <w:t>Title: 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strike/>
                <w:color w:val="FF0000"/>
              </w:rPr>
            </w:pPr>
            <w:r>
              <w:rPr>
                <w:strike/>
                <w:color w:val="FF0000"/>
              </w:rPr>
              <w:t xml:space="preserve">MASSACHUSETTS MUTUAL LIFE </w:t>
            </w:r>
          </w:p>
        </w:tc>
      </w:tr>
      <w:tr>
        <w:trPr/>
        <w:tc>
          <w:tcPr>
            <w:tcW w:w="4082" w:type="dxa"/>
            <w:gridSpan w:val="3"/>
            <w:tcBorders/>
          </w:tcPr>
          <w:p>
            <w:pPr>
              <w:pStyle w:val="TableContents"/>
              <w:bidi w:val="0"/>
              <w:spacing w:before="0" w:after="283"/>
              <w:jc w:val="left"/>
              <w:rPr>
                <w:strike/>
                <w:color w:val="FF0000"/>
              </w:rPr>
            </w:pPr>
            <w:r>
              <w:rPr>
                <w:strike/>
                <w:color w:val="FF0000"/>
              </w:rPr>
              <w:t>INSURANCE COMPANY., as a Class B Lender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strike/>
                <w:color w:val="FF0000"/>
              </w:rPr>
            </w:pPr>
            <w:r>
              <w:rPr>
                <w:strike/>
                <w:color w:val="FF0000"/>
              </w:rPr>
              <w:t>By: Centerbridge Martello Advisors, LLC, a Delaware limited liability company, its investment manager</w:t>
            </w:r>
          </w:p>
        </w:tc>
      </w:tr>
      <w:tr>
        <w:trPr>
          <w:trHeight w:val="240" w:hRule="atLeast"/>
        </w:trPr>
        <w:tc>
          <w:tcPr>
            <w:tcW w:w="1881" w:type="dxa"/>
            <w:tcBorders/>
            <w:vAlign w:val="center"/>
          </w:tcPr>
          <w:p>
            <w:pPr>
              <w:pStyle w:val="TableContents"/>
              <w:bidi w:val="0"/>
              <w:spacing w:before="0" w:after="283"/>
              <w:jc w:val="left"/>
              <w:rPr>
                <w:sz w:val="4"/>
                <w:szCs w:val="4"/>
              </w:rPr>
            </w:pPr>
            <w:r>
              <w:rPr>
                <w:sz w:val="4"/>
                <w:szCs w:val="4"/>
              </w:rPr>
            </w:r>
          </w:p>
        </w:tc>
        <w:tc>
          <w:tcPr>
            <w:tcW w:w="2201" w:type="dxa"/>
            <w:gridSpan w:val="2"/>
            <w:tcBorders/>
            <w:vAlign w:val="center"/>
          </w:tcPr>
          <w:p>
            <w:pPr>
              <w:pStyle w:val="TableContents"/>
              <w:bidi w:val="0"/>
              <w:spacing w:before="0" w:after="283"/>
              <w:jc w:val="left"/>
              <w:rPr>
                <w:sz w:val="4"/>
                <w:szCs w:val="4"/>
              </w:rPr>
            </w:pPr>
            <w:r>
              <w:rPr>
                <w:sz w:val="4"/>
                <w:szCs w:val="4"/>
              </w:rPr>
            </w:r>
          </w:p>
        </w:tc>
      </w:tr>
      <w:tr>
        <w:trPr/>
        <w:tc>
          <w:tcPr>
            <w:tcW w:w="1881" w:type="dxa"/>
            <w:tcBorders/>
          </w:tcPr>
          <w:p>
            <w:pPr>
              <w:pStyle w:val="TableContents"/>
              <w:bidi w:val="0"/>
              <w:spacing w:before="0" w:after="283"/>
              <w:jc w:val="left"/>
              <w:rPr>
                <w:strike/>
                <w:color w:val="FF0000"/>
              </w:rPr>
            </w:pPr>
            <w:r>
              <w:rPr>
                <w:strike/>
                <w:color w:val="FF0000"/>
              </w:rPr>
              <w:t>By:</w:t>
            </w:r>
          </w:p>
        </w:tc>
        <w:tc>
          <w:tcPr>
            <w:tcW w:w="121" w:type="dxa"/>
            <w:tcBorders/>
            <w:vAlign w:val="bottom"/>
          </w:tcPr>
          <w:p>
            <w:pPr>
              <w:pStyle w:val="TableContents"/>
              <w:bidi w:val="0"/>
              <w:spacing w:before="0" w:after="283"/>
              <w:jc w:val="left"/>
              <w:rPr/>
            </w:pPr>
            <w:r>
              <w:rPr/>
              <w:t> </w:t>
            </w:r>
          </w:p>
        </w:tc>
        <w:tc>
          <w:tcPr>
            <w:tcW w:w="2080" w:type="dxa"/>
            <w:tcBorders/>
          </w:tcPr>
          <w:p>
            <w:pPr>
              <w:pStyle w:val="TableContents"/>
              <w:pBdr>
                <w:bottom w:val="single" w:sz="2" w:space="1" w:color="000000"/>
              </w:pBdr>
              <w:bidi w:val="0"/>
              <w:spacing w:before="0" w:after="20"/>
              <w:jc w:val="left"/>
              <w:rPr/>
            </w:pPr>
            <w:r>
              <w:rPr/>
              <w:t> </w:t>
            </w:r>
          </w:p>
        </w:tc>
      </w:tr>
      <w:tr>
        <w:trPr/>
        <w:tc>
          <w:tcPr>
            <w:tcW w:w="1881" w:type="dxa"/>
            <w:tcBorders/>
          </w:tcPr>
          <w:p>
            <w:pPr>
              <w:pStyle w:val="TableContents"/>
              <w:bidi w:val="0"/>
              <w:spacing w:before="0" w:after="283"/>
              <w:jc w:val="left"/>
              <w:rPr>
                <w:strike/>
                <w:color w:val="FF0000"/>
              </w:rPr>
            </w:pPr>
            <w:r>
              <w:rPr>
                <w:strike/>
                <w:color w:val="FF0000"/>
              </w:rPr>
              <w:t>Name:</w:t>
            </w:r>
          </w:p>
        </w:tc>
        <w:tc>
          <w:tcPr>
            <w:tcW w:w="121" w:type="dxa"/>
            <w:tcBorders/>
            <w:vAlign w:val="bottom"/>
          </w:tcPr>
          <w:p>
            <w:pPr>
              <w:pStyle w:val="TableContents"/>
              <w:bidi w:val="0"/>
              <w:spacing w:before="0" w:after="283"/>
              <w:jc w:val="left"/>
              <w:rPr/>
            </w:pPr>
            <w:r>
              <w:rPr/>
              <w:t> </w:t>
            </w:r>
          </w:p>
        </w:tc>
        <w:tc>
          <w:tcPr>
            <w:tcW w:w="2080" w:type="dxa"/>
            <w:tcBorders/>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strike/>
                <w:color w:val="FF0000"/>
              </w:rPr>
            </w:pPr>
            <w:r>
              <w:rPr>
                <w:strike/>
                <w:color w:val="FF0000"/>
              </w:rPr>
              <w:t>Title: Authorized Signatory</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CENTERBRIDGE CREDIT CS, L.P.,</w:t>
            </w:r>
          </w:p>
        </w:tc>
      </w:tr>
      <w:tr>
        <w:trPr/>
        <w:tc>
          <w:tcPr>
            <w:tcW w:w="40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 xml:space="preserve">as Class B Lender Representative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By: Credit and SCIII General Partner, L.L.C.,</w:t>
            </w:r>
          </w:p>
          <w:p>
            <w:pPr>
              <w:pStyle w:val="TableContents"/>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its general partner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w:t>
            </w:r>
          </w:p>
        </w:tc>
      </w:tr>
      <w:tr>
        <w:trPr/>
        <w:tc>
          <w:tcPr>
            <w:tcW w:w="40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Name:</w:t>
            </w:r>
          </w:p>
        </w:tc>
      </w:tr>
      <w:tr>
        <w:trPr/>
        <w:tc>
          <w:tcPr>
            <w:tcW w:w="40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Title: Authorized Signatory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CENTERBRIDGE CREDIT CS, L.P.,</w:t>
            </w:r>
          </w:p>
          <w:p>
            <w:pPr>
              <w:pStyle w:val="TableContents"/>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as a Class B Lender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By: Credit and SCIII General Partner, L.L.C.,</w:t>
            </w:r>
          </w:p>
          <w:p>
            <w:pPr>
              <w:pStyle w:val="TableContents"/>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its general partner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w:t>
            </w:r>
          </w:p>
        </w:tc>
      </w:tr>
      <w:tr>
        <w:trPr/>
        <w:tc>
          <w:tcPr>
            <w:tcW w:w="40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Name:</w:t>
            </w:r>
          </w:p>
        </w:tc>
      </w:tr>
      <w:tr>
        <w:trPr/>
        <w:tc>
          <w:tcPr>
            <w:tcW w:w="40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Title: Authorized Signatory</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81"/>
        <w:gridCol w:w="120"/>
        <w:gridCol w:w="3305"/>
        <w:gridCol w:w="120"/>
        <w:gridCol w:w="3379"/>
      </w:tblGrid>
      <w:tr>
        <w:trPr/>
        <w:tc>
          <w:tcPr>
            <w:tcW w:w="328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79" w:type="dxa"/>
            <w:tcBorders/>
            <w:vAlign w:val="center"/>
          </w:tcPr>
          <w:p>
            <w:pPr>
              <w:pStyle w:val="TableContents"/>
              <w:bidi w:val="0"/>
              <w:spacing w:before="0" w:after="283"/>
              <w:jc w:val="left"/>
              <w:rPr>
                <w:sz w:val="4"/>
                <w:szCs w:val="4"/>
              </w:rPr>
            </w:pPr>
            <w:r>
              <w:rPr>
                <w:sz w:val="4"/>
                <w:szCs w:val="4"/>
              </w:rPr>
            </w:r>
          </w:p>
        </w:tc>
      </w:tr>
      <w:tr>
        <w:trPr/>
        <w:tc>
          <w:tcPr>
            <w:tcW w:w="328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05" w:type="dxa"/>
            <w:tcBorders/>
          </w:tcPr>
          <w:p>
            <w:pPr>
              <w:pStyle w:val="TableContents"/>
              <w:bidi w:val="0"/>
              <w:spacing w:before="0" w:after="283"/>
              <w:jc w:val="center"/>
              <w:rPr>
                <w:strike/>
                <w:color w:val="FF0000"/>
              </w:rPr>
            </w:pPr>
            <w:r>
              <w:rPr>
                <w:strike/>
                <w:color w:val="FF0000"/>
              </w:rPr>
              <w:t>S-</w:t>
            </w:r>
          </w:p>
        </w:tc>
        <w:tc>
          <w:tcPr>
            <w:tcW w:w="120" w:type="dxa"/>
            <w:tcBorders/>
            <w:vAlign w:val="bottom"/>
          </w:tcPr>
          <w:p>
            <w:pPr>
              <w:pStyle w:val="TableContents"/>
              <w:bidi w:val="0"/>
              <w:spacing w:before="0" w:after="283"/>
              <w:jc w:val="left"/>
              <w:rPr/>
            </w:pPr>
            <w:r>
              <w:rPr/>
              <w:t>  </w:t>
            </w:r>
          </w:p>
        </w:tc>
        <w:tc>
          <w:tcPr>
            <w:tcW w:w="3379" w:type="dxa"/>
            <w:tcBorders/>
          </w:tcPr>
          <w:p>
            <w:pPr>
              <w:pStyle w:val="TableContents"/>
              <w:bidi w:val="0"/>
              <w:spacing w:before="0" w:after="283"/>
              <w:jc w:val="right"/>
              <w:rPr>
                <w:i/>
                <w:strike/>
                <w:color w:val="FF0000"/>
              </w:rPr>
            </w:pPr>
            <w:r>
              <w:rPr>
                <w:i/>
                <w:strike/>
                <w:color w:val="FF0000"/>
              </w:rPr>
              <w:t>Receivables Financing Agreement</w:t>
            </w:r>
          </w:p>
        </w:tc>
      </w:tr>
    </w:tbl>
    <w:p>
      <w:pPr>
        <w:pStyle w:val="TextBody"/>
        <w:bidi w:val="0"/>
        <w:spacing w:before="12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CB NC CO-INVEST, L.P., as a Class B Lender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 CB NC Co-Invest GP, L.P., its general partner</w:t>
            </w:r>
          </w:p>
        </w:tc>
      </w:tr>
      <w:tr>
        <w:trPr/>
        <w:tc>
          <w:tcPr>
            <w:tcW w:w="40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 CSCP IV Cayman GP, Ltd., its general partner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w:t>
            </w:r>
          </w:p>
        </w:tc>
      </w:tr>
      <w:tr>
        <w:trPr/>
        <w:tc>
          <w:tcPr>
            <w:tcW w:w="40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Name:</w:t>
            </w:r>
          </w:p>
        </w:tc>
      </w:tr>
      <w:tr>
        <w:trPr/>
        <w:tc>
          <w:tcPr>
            <w:tcW w:w="40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Title: Authorized Signatory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MASSACHUSETTS MUTUAL LIFE INSURANCE COMPANY, as a Class B Lender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 Centerbridge Martello Advisors, LLC, a Delaware limited liability company, its investment manager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w:t>
            </w:r>
          </w:p>
        </w:tc>
      </w:tr>
      <w:tr>
        <w:trPr/>
        <w:tc>
          <w:tcPr>
            <w:tcW w:w="40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Name:</w:t>
            </w:r>
          </w:p>
        </w:tc>
      </w:tr>
      <w:tr>
        <w:trPr/>
        <w:tc>
          <w:tcPr>
            <w:tcW w:w="40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Title: Authorized Signatory</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81"/>
        <w:gridCol w:w="120"/>
        <w:gridCol w:w="3305"/>
        <w:gridCol w:w="120"/>
        <w:gridCol w:w="3379"/>
      </w:tblGrid>
      <w:tr>
        <w:trPr/>
        <w:tc>
          <w:tcPr>
            <w:tcW w:w="328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79" w:type="dxa"/>
            <w:tcBorders/>
            <w:vAlign w:val="center"/>
          </w:tcPr>
          <w:p>
            <w:pPr>
              <w:pStyle w:val="TableContents"/>
              <w:bidi w:val="0"/>
              <w:spacing w:before="0" w:after="283"/>
              <w:jc w:val="left"/>
              <w:rPr>
                <w:sz w:val="4"/>
                <w:szCs w:val="4"/>
              </w:rPr>
            </w:pPr>
            <w:r>
              <w:rPr>
                <w:sz w:val="4"/>
                <w:szCs w:val="4"/>
              </w:rPr>
            </w:r>
          </w:p>
        </w:tc>
      </w:tr>
      <w:tr>
        <w:trPr/>
        <w:tc>
          <w:tcPr>
            <w:tcW w:w="328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05" w:type="dxa"/>
            <w:tcBorders/>
          </w:tcPr>
          <w:p>
            <w:pPr>
              <w:pStyle w:val="TableContents"/>
              <w:bidi w:val="0"/>
              <w:spacing w:before="0" w:after="283"/>
              <w:jc w:val="center"/>
              <w:rPr>
                <w:strike/>
                <w:color w:val="FF0000"/>
              </w:rPr>
            </w:pPr>
            <w:r>
              <w:rPr>
                <w:strike/>
                <w:color w:val="FF0000"/>
              </w:rPr>
              <w:t>S-</w:t>
            </w:r>
          </w:p>
        </w:tc>
        <w:tc>
          <w:tcPr>
            <w:tcW w:w="120" w:type="dxa"/>
            <w:tcBorders/>
            <w:vAlign w:val="bottom"/>
          </w:tcPr>
          <w:p>
            <w:pPr>
              <w:pStyle w:val="TableContents"/>
              <w:bidi w:val="0"/>
              <w:spacing w:before="0" w:after="283"/>
              <w:jc w:val="left"/>
              <w:rPr/>
            </w:pPr>
            <w:r>
              <w:rPr/>
              <w:t>  </w:t>
            </w:r>
          </w:p>
        </w:tc>
        <w:tc>
          <w:tcPr>
            <w:tcW w:w="3379" w:type="dxa"/>
            <w:tcBorders/>
          </w:tcPr>
          <w:p>
            <w:pPr>
              <w:pStyle w:val="TableContents"/>
              <w:bidi w:val="0"/>
              <w:spacing w:before="0" w:after="283"/>
              <w:jc w:val="right"/>
              <w:rPr>
                <w:i/>
                <w:strike/>
                <w:color w:val="FF0000"/>
              </w:rPr>
            </w:pPr>
            <w:r>
              <w:rPr>
                <w:i/>
                <w:strike/>
                <w:color w:val="FF0000"/>
              </w:rPr>
              <w:t>Receivables Financing Agreement</w:t>
            </w:r>
          </w:p>
        </w:tc>
      </w:tr>
    </w:tbl>
    <w:p>
      <w:pPr>
        <w:pStyle w:val="TextBody"/>
        <w:bidi w:val="0"/>
        <w:spacing w:before="12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CENTERBRIDGE SPECIAL CREDIT PARTNERS IV – I CO-INVEST, L.P., as a Class B Lender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 Centerbridge Special Credit Partners General Partner IV, L.P., its general partner</w:t>
            </w:r>
          </w:p>
        </w:tc>
      </w:tr>
      <w:tr>
        <w:trPr/>
        <w:tc>
          <w:tcPr>
            <w:tcW w:w="40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 CSCP IV Cayman GP, Ltd.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w:t>
            </w:r>
          </w:p>
        </w:tc>
      </w:tr>
      <w:tr>
        <w:trPr/>
        <w:tc>
          <w:tcPr>
            <w:tcW w:w="40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Name:</w:t>
            </w:r>
          </w:p>
        </w:tc>
      </w:tr>
      <w:tr>
        <w:trPr/>
        <w:tc>
          <w:tcPr>
            <w:tcW w:w="40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Title: Authorized Signatory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CB SA FUND, L.P., as a Class B Lender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 Centerbridge Special Credit Partners General Partner IV, L.P., its general partner</w:t>
            </w:r>
          </w:p>
        </w:tc>
      </w:tr>
      <w:tr>
        <w:trPr/>
        <w:tc>
          <w:tcPr>
            <w:tcW w:w="40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 CSCP IV Cayman GP, Ltd., its general partner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w:t>
            </w:r>
          </w:p>
        </w:tc>
      </w:tr>
      <w:tr>
        <w:trPr/>
        <w:tc>
          <w:tcPr>
            <w:tcW w:w="40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Name:</w:t>
            </w:r>
          </w:p>
        </w:tc>
      </w:tr>
      <w:tr>
        <w:trPr/>
        <w:tc>
          <w:tcPr>
            <w:tcW w:w="40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Title: 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LAKE CENTRAL FUND, LP, as a Class B Lender</w:t>
            </w:r>
          </w:p>
        </w:tc>
      </w:tr>
      <w:tr>
        <w:trPr/>
        <w:tc>
          <w:tcPr>
            <w:tcW w:w="40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 xml:space="preserve">By: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w:t>
            </w:r>
          </w:p>
        </w:tc>
      </w:tr>
      <w:tr>
        <w:trPr/>
        <w:tc>
          <w:tcPr>
            <w:tcW w:w="40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Name:</w:t>
            </w:r>
          </w:p>
        </w:tc>
      </w:tr>
      <w:tr>
        <w:trPr/>
        <w:tc>
          <w:tcPr>
            <w:tcW w:w="40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Title: Authorized Signatory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METROPOLITAN LIFE INSURANCE COMPANY, as a Class B Lender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 xml:space="preserve">By: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w:t>
            </w:r>
          </w:p>
        </w:tc>
      </w:tr>
      <w:tr>
        <w:trPr/>
        <w:tc>
          <w:tcPr>
            <w:tcW w:w="40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Name:</w:t>
            </w:r>
          </w:p>
        </w:tc>
      </w:tr>
      <w:tr>
        <w:trPr/>
        <w:tc>
          <w:tcPr>
            <w:tcW w:w="408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Title: Authorized Signatory</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81"/>
        <w:gridCol w:w="120"/>
        <w:gridCol w:w="3305"/>
        <w:gridCol w:w="120"/>
        <w:gridCol w:w="3379"/>
      </w:tblGrid>
      <w:tr>
        <w:trPr/>
        <w:tc>
          <w:tcPr>
            <w:tcW w:w="328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79" w:type="dxa"/>
            <w:tcBorders/>
            <w:vAlign w:val="center"/>
          </w:tcPr>
          <w:p>
            <w:pPr>
              <w:pStyle w:val="TableContents"/>
              <w:bidi w:val="0"/>
              <w:spacing w:before="0" w:after="283"/>
              <w:jc w:val="left"/>
              <w:rPr>
                <w:sz w:val="4"/>
                <w:szCs w:val="4"/>
              </w:rPr>
            </w:pPr>
            <w:r>
              <w:rPr>
                <w:sz w:val="4"/>
                <w:szCs w:val="4"/>
              </w:rPr>
            </w:r>
          </w:p>
        </w:tc>
      </w:tr>
      <w:tr>
        <w:trPr/>
        <w:tc>
          <w:tcPr>
            <w:tcW w:w="328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05" w:type="dxa"/>
            <w:tcBorders/>
          </w:tcPr>
          <w:p>
            <w:pPr>
              <w:pStyle w:val="TableContents"/>
              <w:bidi w:val="0"/>
              <w:spacing w:before="0" w:after="283"/>
              <w:jc w:val="center"/>
              <w:rPr>
                <w:color w:val="0000FF"/>
                <w:u w:val="single"/>
                <w:bdr w:val="double" w:sz="2" w:space="1" w:color="000000"/>
              </w:rPr>
            </w:pPr>
            <w:r>
              <w:rPr>
                <w:color w:val="0000FF"/>
                <w:u w:val="single"/>
                <w:bdr w:val="double" w:sz="2" w:space="1" w:color="000000"/>
              </w:rPr>
              <w:t>S-</w:t>
            </w:r>
          </w:p>
        </w:tc>
        <w:tc>
          <w:tcPr>
            <w:tcW w:w="120" w:type="dxa"/>
            <w:tcBorders/>
            <w:vAlign w:val="bottom"/>
          </w:tcPr>
          <w:p>
            <w:pPr>
              <w:pStyle w:val="TableContents"/>
              <w:bidi w:val="0"/>
              <w:spacing w:before="0" w:after="283"/>
              <w:jc w:val="left"/>
              <w:rPr/>
            </w:pPr>
            <w:r>
              <w:rPr/>
              <w:t>  </w:t>
            </w:r>
          </w:p>
        </w:tc>
        <w:tc>
          <w:tcPr>
            <w:tcW w:w="3379" w:type="dxa"/>
            <w:tcBorders/>
          </w:tcPr>
          <w:p>
            <w:pPr>
              <w:pStyle w:val="TableContents"/>
              <w:bidi w:val="0"/>
              <w:spacing w:before="0" w:after="283"/>
              <w:jc w:val="right"/>
              <w:rPr>
                <w:i/>
                <w:color w:val="0000FF"/>
                <w:u w:val="single"/>
                <w:bdr w:val="double" w:sz="2" w:space="1" w:color="000000"/>
              </w:rPr>
            </w:pPr>
            <w:r>
              <w:rPr>
                <w:i/>
                <w:color w:val="0000FF"/>
                <w:u w:val="single"/>
                <w:bdr w:val="double" w:sz="2" w:space="1" w:color="000000"/>
              </w:rPr>
              <w:t>Receivables Financing Agreement</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0" w:after="0"/>
        <w:jc w:val="center"/>
        <w:rPr>
          <w:rFonts w:ascii="Times New Roman" w:hAnsi="Times New Roman"/>
          <w:b/>
          <w:sz w:val="20"/>
        </w:rPr>
      </w:pPr>
      <w:r>
        <w:rPr>
          <w:rFonts w:ascii="Times New Roman" w:hAnsi="Times New Roman"/>
          <w:b/>
          <w:sz w:val="20"/>
        </w:rPr>
        <w:t xml:space="preserve">Form of Loan Request </w:t>
      </w:r>
    </w:p>
    <w:p>
      <w:pPr>
        <w:pStyle w:val="TextBody"/>
        <w:bidi w:val="0"/>
        <w:spacing w:before="240" w:after="0"/>
        <w:jc w:val="center"/>
        <w:rPr>
          <w:rFonts w:ascii="Times New Roman" w:hAnsi="Times New Roman"/>
          <w:sz w:val="20"/>
        </w:rPr>
      </w:pPr>
      <w:r>
        <w:rPr>
          <w:rFonts w:ascii="Times New Roman" w:hAnsi="Times New Roman"/>
          <w:sz w:val="20"/>
        </w:rPr>
        <w:t xml:space="preserve">[Letterhead of Borrower] </w:t>
      </w:r>
    </w:p>
    <w:p>
      <w:pPr>
        <w:pStyle w:val="TextBody"/>
        <w:bidi w:val="0"/>
        <w:spacing w:before="240" w:after="0"/>
        <w:jc w:val="left"/>
        <w:rPr>
          <w:rFonts w:ascii="Times New Roman" w:hAnsi="Times New Roman"/>
          <w:sz w:val="20"/>
        </w:rPr>
      </w:pPr>
      <w:r>
        <w:rPr>
          <w:rFonts w:ascii="Times New Roman" w:hAnsi="Times New Roman"/>
          <w:sz w:val="20"/>
        </w:rPr>
        <w:t xml:space="preserve">[Date] </w:t>
      </w:r>
    </w:p>
    <w:p>
      <w:pPr>
        <w:pStyle w:val="TextBody"/>
        <w:bidi w:val="0"/>
        <w:spacing w:before="240" w:after="0"/>
        <w:jc w:val="left"/>
        <w:rPr>
          <w:rFonts w:ascii="Times New Roman" w:hAnsi="Times New Roman"/>
          <w:sz w:val="20"/>
        </w:rPr>
      </w:pPr>
      <w:r>
        <w:rPr>
          <w:rFonts w:ascii="Times New Roman" w:hAnsi="Times New Roman"/>
          <w:sz w:val="20"/>
        </w:rPr>
        <w:t xml:space="preserve">[Administrative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[Lenders]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Re: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Loan Request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Reference is hereby made to that certain Receivables Financing Agreement, dated as of February 14, 2023, among Sabre Securitization, LLC (the “</w:t>
      </w:r>
      <w:r>
        <w:rPr>
          <w:rFonts w:ascii="Times New Roman" w:hAnsi="Times New Roman"/>
          <w:sz w:val="20"/>
          <w:u w:val="single"/>
        </w:rPr>
        <w:t>Borrower</w:t>
      </w:r>
      <w:r>
        <w:rPr>
          <w:rFonts w:ascii="Times New Roman" w:hAnsi="Times New Roman"/>
          <w:sz w:val="20"/>
        </w:rPr>
        <w:t>”), Sabre Global Technologies Limited</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Sabre GLBL Inc., </w:t>
      </w:r>
      <w:r>
        <w:rPr>
          <w:rFonts w:ascii="Times New Roman" w:hAnsi="Times New Roman"/>
          <w:strike/>
          <w:color w:val="FF0000"/>
          <w:sz w:val="20"/>
        </w:rPr>
        <w:t>as Servicer (the “Servicer</w:t>
      </w:r>
      <w:r>
        <w:rPr>
          <w:rFonts w:ascii="Times New Roman" w:hAnsi="Times New Roman"/>
          <w:color w:val="0000FF"/>
          <w:sz w:val="20"/>
          <w:u w:val="single"/>
          <w:bdr w:val="double" w:sz="2" w:space="1" w:color="000000"/>
        </w:rPr>
        <w:t>and Sabre Asia Pacific Pte. Ltd., as Servicers (the “Servicers</w:t>
      </w:r>
      <w:r>
        <w:rPr>
          <w:rFonts w:ascii="Times New Roman" w:hAnsi="Times New Roman"/>
          <w:sz w:val="20"/>
        </w:rPr>
        <w:t>”), the Lenders and Lender Representatives party thereto, PNC Bank, National Association, as Administrative Agent (in such capacity, the “</w:t>
      </w:r>
      <w:r>
        <w:rPr>
          <w:rFonts w:ascii="Times New Roman" w:hAnsi="Times New Roman"/>
          <w:sz w:val="20"/>
          <w:u w:val="single"/>
        </w:rPr>
        <w:t>Administrative Agent</w:t>
      </w:r>
      <w:r>
        <w:rPr>
          <w:rFonts w:ascii="Times New Roman" w:hAnsi="Times New Roman"/>
          <w:sz w:val="20"/>
        </w:rPr>
        <w:t>”) and Class A Lender Representative, Centerbridge Credit CS, L.P., as the Class B Lender Representative, and PNC Capital Markets LLC, as Structuring Agent (as amended, restated, supplemented or otherwise modified from time to time, the “</w:t>
      </w:r>
      <w:r>
        <w:rPr>
          <w:rFonts w:ascii="Times New Roman" w:hAnsi="Times New Roman"/>
          <w:sz w:val="20"/>
          <w:u w:val="single"/>
        </w:rPr>
        <w:t>Agreement</w:t>
      </w:r>
      <w:r>
        <w:rPr>
          <w:rFonts w:ascii="Times New Roman" w:hAnsi="Times New Roman"/>
          <w:sz w:val="20"/>
        </w:rPr>
        <w:t xml:space="preserve">”). Capitalized terms used in this Loan Request and not otherwise defined herein shall have the meanings assigned thereto in the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letter constitutes a Loan Request pursuant to </w:t>
      </w:r>
      <w:r>
        <w:rPr>
          <w:rFonts w:ascii="Times New Roman" w:hAnsi="Times New Roman"/>
          <w:sz w:val="20"/>
          <w:u w:val="single"/>
        </w:rPr>
        <w:t>Section 2.02(a)</w:t>
      </w:r>
      <w:r>
        <w:rPr>
          <w:rFonts w:ascii="Times New Roman" w:hAnsi="Times New Roman"/>
          <w:sz w:val="20"/>
        </w:rPr>
        <w:t xml:space="preserve"> of the Agreement. The Borrower hereby </w:t>
      </w:r>
      <w:r>
        <w:rPr>
          <w:rFonts w:ascii="Times New Roman" w:hAnsi="Times New Roman"/>
          <w:strike/>
          <w:color w:val="FF0000"/>
          <w:sz w:val="20"/>
        </w:rPr>
        <w:t>request</w:t>
      </w:r>
      <w:r>
        <w:rPr>
          <w:rFonts w:ascii="Times New Roman" w:hAnsi="Times New Roman"/>
          <w:color w:val="0000FF"/>
          <w:sz w:val="20"/>
          <w:u w:val="single"/>
          <w:bdr w:val="double" w:sz="2" w:space="1" w:color="000000"/>
        </w:rPr>
        <w:t>requests</w:t>
      </w:r>
      <w:r>
        <w:rPr>
          <w:rFonts w:ascii="Times New Roman" w:hAnsi="Times New Roman"/>
          <w:sz w:val="20"/>
        </w:rPr>
        <w:t xml:space="preserve"> a Loan in the aggregate amount of [$</w:t>
      </w:r>
      <w:r>
        <w:rPr>
          <w:rFonts w:ascii="Times New Roman" w:hAnsi="Times New Roman"/>
          <w:sz w:val="20"/>
          <w:u w:val="single"/>
        </w:rPr>
        <w:t>   </w:t>
      </w:r>
      <w:r>
        <w:rPr>
          <w:rFonts w:ascii="Times New Roman" w:hAnsi="Times New Roman"/>
          <w:sz w:val="20"/>
        </w:rPr>
        <w:t>] to be made on [</w:t>
      </w:r>
      <w:r>
        <w:rPr>
          <w:rFonts w:ascii="Times New Roman" w:hAnsi="Times New Roman"/>
          <w:sz w:val="20"/>
          <w:u w:val="single"/>
        </w:rPr>
        <w:t>   </w:t>
      </w:r>
      <w:r>
        <w:rPr>
          <w:rFonts w:ascii="Times New Roman" w:hAnsi="Times New Roman"/>
          <w:sz w:val="20"/>
        </w:rPr>
        <w:t>, 20__] (of which $[</w:t>
      </w:r>
      <w:r>
        <w:rPr>
          <w:rFonts w:ascii="Times New Roman" w:hAnsi="Times New Roman"/>
          <w:sz w:val="20"/>
          <w:u w:val="single"/>
        </w:rPr>
        <w:t>   </w:t>
      </w:r>
      <w:r>
        <w:rPr>
          <w:rFonts w:ascii="Times New Roman" w:hAnsi="Times New Roman"/>
          <w:sz w:val="20"/>
        </w:rPr>
        <w:t>] will be funded by PNC and $[</w:t>
      </w:r>
      <w:r>
        <w:rPr>
          <w:rFonts w:ascii="Times New Roman" w:hAnsi="Times New Roman"/>
          <w:sz w:val="20"/>
          <w:u w:val="single"/>
        </w:rPr>
        <w:t>   </w:t>
      </w:r>
      <w:r>
        <w:rPr>
          <w:rFonts w:ascii="Times New Roman" w:hAnsi="Times New Roman"/>
          <w:sz w:val="20"/>
        </w:rPr>
        <w:t>] will be funded by [</w:t>
      </w:r>
      <w:r>
        <w:rPr>
          <w:rFonts w:ascii="Times New Roman" w:hAnsi="Times New Roman"/>
          <w:sz w:val="20"/>
          <w:u w:val="single"/>
        </w:rPr>
        <w:t>   </w:t>
      </w:r>
      <w:r>
        <w:rPr>
          <w:rFonts w:ascii="Times New Roman" w:hAnsi="Times New Roman"/>
          <w:sz w:val="20"/>
        </w:rPr>
        <w:t>]. The proceeds of such Loan should be deposited to [Account number], at [Name, Address and ABA Number of Bank]. After giving effect to such Loan, the Aggregate Principal will be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Borrower hereby represents and warrants as of the date hereof, and after giving effect to such Credit Extension, as follows: </w:t>
      </w:r>
    </w:p>
    <w:p>
      <w:pPr>
        <w:pStyle w:val="TextBody"/>
        <w:bidi w:val="0"/>
        <w:spacing w:before="120" w:after="0"/>
        <w:jc w:val="left"/>
        <w:rPr>
          <w:rFonts w:ascii="Times New Roman" w:hAnsi="Times New Roman"/>
          <w:sz w:val="20"/>
        </w:rPr>
      </w:pPr>
      <w:r>
        <w:rPr>
          <w:rFonts w:ascii="Times New Roman" w:hAnsi="Times New Roman"/>
          <w:sz w:val="20"/>
        </w:rPr>
        <w:t xml:space="preserve">(i) the representations and warranties of the Borrower and the Servicers contained in </w:t>
      </w:r>
      <w:r>
        <w:rPr>
          <w:rFonts w:ascii="Times New Roman" w:hAnsi="Times New Roman"/>
          <w:sz w:val="20"/>
          <w:u w:val="single"/>
        </w:rPr>
        <w:t>Sections 6.01</w:t>
      </w:r>
      <w:r>
        <w:rPr>
          <w:rFonts w:ascii="Times New Roman" w:hAnsi="Times New Roman"/>
          <w:sz w:val="20"/>
        </w:rPr>
        <w:t xml:space="preserve"> and </w:t>
      </w:r>
      <w:r>
        <w:rPr>
          <w:rFonts w:ascii="Times New Roman" w:hAnsi="Times New Roman"/>
          <w:sz w:val="20"/>
          <w:u w:val="single"/>
        </w:rPr>
        <w:t>6.02</w:t>
      </w:r>
      <w:r>
        <w:rPr>
          <w:rFonts w:ascii="Times New Roman" w:hAnsi="Times New Roman"/>
          <w:sz w:val="20"/>
        </w:rPr>
        <w:t xml:space="preserve"> of the Agreement are true and correct in all material respects on and as of the date of such Credit Extension as though made on and as of such date unless such representations and warranties by their terms refer to an earlier date, in which case they shall be true and correct in all material respects on and as of such earlier date; </w:t>
      </w:r>
    </w:p>
    <w:p>
      <w:pPr>
        <w:pStyle w:val="TextBody"/>
        <w:bidi w:val="0"/>
        <w:spacing w:before="120" w:after="0"/>
        <w:jc w:val="left"/>
        <w:rPr>
          <w:rFonts w:ascii="Times New Roman" w:hAnsi="Times New Roman"/>
          <w:sz w:val="20"/>
        </w:rPr>
      </w:pPr>
      <w:r>
        <w:rPr>
          <w:rFonts w:ascii="Times New Roman" w:hAnsi="Times New Roman"/>
          <w:sz w:val="20"/>
        </w:rPr>
        <w:t xml:space="preserve">(ii) no Event of Default, Financial Covenant Event or Potential Default has occurred and is continuing, and no Event of Default, Financial Covenant Event or Potential Default would result from such Credit Extension;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no Borrowing Base Deficit or Class A Borrowing Base Deficit exists or would exist after giving effect to such Credit Extension; </w:t>
      </w:r>
    </w:p>
    <w:p>
      <w:pPr>
        <w:pStyle w:val="TextBody"/>
        <w:bidi w:val="0"/>
        <w:spacing w:before="120" w:after="0"/>
        <w:jc w:val="left"/>
        <w:rPr>
          <w:rFonts w:ascii="Times New Roman" w:hAnsi="Times New Roman"/>
          <w:sz w:val="20"/>
        </w:rPr>
      </w:pPr>
      <w:r>
        <w:rPr>
          <w:rFonts w:ascii="Times New Roman" w:hAnsi="Times New Roman"/>
          <w:sz w:val="20"/>
        </w:rPr>
        <w:t xml:space="preserve">(iv) immediately after giving effect to such Credit Extension, no Lender’s aggregate outstanding Principal will exceed such Lender’s Commitment; and </w:t>
      </w:r>
    </w:p>
    <w:p>
      <w:pPr>
        <w:pStyle w:val="TextBody"/>
        <w:bidi w:val="0"/>
        <w:spacing w:before="120" w:after="0"/>
        <w:jc w:val="left"/>
        <w:rPr>
          <w:rFonts w:ascii="Times New Roman" w:hAnsi="Times New Roman"/>
          <w:sz w:val="20"/>
        </w:rPr>
      </w:pPr>
      <w:r>
        <w:rPr>
          <w:rFonts w:ascii="Times New Roman" w:hAnsi="Times New Roman"/>
          <w:sz w:val="20"/>
        </w:rPr>
        <w:t xml:space="preserve">(v) the Termination Date has not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has executed this letter by its duly authorized officer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799"/>
        <w:gridCol w:w="177"/>
        <w:gridCol w:w="2106"/>
      </w:tblGrid>
      <w:tr>
        <w:trPr/>
        <w:tc>
          <w:tcPr>
            <w:tcW w:w="1799"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SABRE SECURITIZATION, LLC</w:t>
            </w:r>
          </w:p>
        </w:tc>
      </w:tr>
      <w:tr>
        <w:trPr>
          <w:trHeight w:val="240" w:hRule="atLeast"/>
        </w:trPr>
        <w:tc>
          <w:tcPr>
            <w:tcW w:w="1799" w:type="dxa"/>
            <w:tcBorders/>
            <w:vAlign w:val="center"/>
          </w:tcPr>
          <w:p>
            <w:pPr>
              <w:pStyle w:val="TableContents"/>
              <w:bidi w:val="0"/>
              <w:spacing w:before="0" w:after="283"/>
              <w:jc w:val="left"/>
              <w:rPr>
                <w:sz w:val="4"/>
                <w:szCs w:val="4"/>
              </w:rPr>
            </w:pPr>
            <w:r>
              <w:rPr>
                <w:sz w:val="4"/>
                <w:szCs w:val="4"/>
              </w:rPr>
            </w:r>
          </w:p>
        </w:tc>
        <w:tc>
          <w:tcPr>
            <w:tcW w:w="2283" w:type="dxa"/>
            <w:gridSpan w:val="2"/>
            <w:tcBorders/>
            <w:vAlign w:val="center"/>
          </w:tcPr>
          <w:p>
            <w:pPr>
              <w:pStyle w:val="TableContents"/>
              <w:bidi w:val="0"/>
              <w:spacing w:before="0" w:after="283"/>
              <w:jc w:val="left"/>
              <w:rPr>
                <w:sz w:val="4"/>
                <w:szCs w:val="4"/>
              </w:rPr>
            </w:pPr>
            <w:r>
              <w:rPr>
                <w:sz w:val="4"/>
                <w:szCs w:val="4"/>
              </w:rPr>
            </w:r>
          </w:p>
        </w:tc>
      </w:tr>
      <w:tr>
        <w:trPr/>
        <w:tc>
          <w:tcPr>
            <w:tcW w:w="1799" w:type="dxa"/>
            <w:tcBorders/>
          </w:tcPr>
          <w:p>
            <w:pPr>
              <w:pStyle w:val="TableContents"/>
              <w:bidi w:val="0"/>
              <w:spacing w:before="0" w:after="283"/>
              <w:jc w:val="left"/>
              <w:rPr/>
            </w:pPr>
            <w:r>
              <w:rPr/>
              <w:t>By:</w:t>
            </w:r>
          </w:p>
        </w:tc>
        <w:tc>
          <w:tcPr>
            <w:tcW w:w="177" w:type="dxa"/>
            <w:tcBorders/>
            <w:vAlign w:val="bottom"/>
          </w:tcPr>
          <w:p>
            <w:pPr>
              <w:pStyle w:val="TableContents"/>
              <w:bidi w:val="0"/>
              <w:spacing w:before="0" w:after="283"/>
              <w:jc w:val="left"/>
              <w:rPr/>
            </w:pPr>
            <w:r>
              <w:rPr/>
              <w:t> </w:t>
            </w:r>
          </w:p>
        </w:tc>
        <w:tc>
          <w:tcPr>
            <w:tcW w:w="2106" w:type="dxa"/>
            <w:tcBorders/>
          </w:tcPr>
          <w:p>
            <w:pPr>
              <w:pStyle w:val="TableContents"/>
              <w:pBdr>
                <w:bottom w:val="single" w:sz="2" w:space="1" w:color="000000"/>
              </w:pBdr>
              <w:bidi w:val="0"/>
              <w:spacing w:before="0" w:after="20"/>
              <w:jc w:val="left"/>
              <w:rPr/>
            </w:pPr>
            <w:r>
              <w:rPr/>
              <w:t> </w:t>
            </w:r>
          </w:p>
        </w:tc>
      </w:tr>
      <w:tr>
        <w:trPr/>
        <w:tc>
          <w:tcPr>
            <w:tcW w:w="1799" w:type="dxa"/>
            <w:tcBorders/>
          </w:tcPr>
          <w:p>
            <w:pPr>
              <w:pStyle w:val="TableContents"/>
              <w:bidi w:val="0"/>
              <w:spacing w:before="0" w:after="283"/>
              <w:jc w:val="left"/>
              <w:rPr/>
            </w:pPr>
            <w:r>
              <w:rPr/>
              <w:t>Name:</w:t>
            </w:r>
          </w:p>
        </w:tc>
        <w:tc>
          <w:tcPr>
            <w:tcW w:w="177" w:type="dxa"/>
            <w:tcBorders/>
            <w:vAlign w:val="bottom"/>
          </w:tcPr>
          <w:p>
            <w:pPr>
              <w:pStyle w:val="TableContents"/>
              <w:bidi w:val="0"/>
              <w:spacing w:before="0" w:after="283"/>
              <w:jc w:val="left"/>
              <w:rPr/>
            </w:pPr>
            <w:r>
              <w:rPr/>
              <w:t> </w:t>
            </w:r>
          </w:p>
        </w:tc>
        <w:tc>
          <w:tcPr>
            <w:tcW w:w="2106" w:type="dxa"/>
            <w:tcBorders/>
          </w:tcPr>
          <w:p>
            <w:pPr>
              <w:pStyle w:val="TableContents"/>
              <w:bidi w:val="0"/>
              <w:spacing w:before="0" w:after="283"/>
              <w:jc w:val="left"/>
              <w:rPr>
                <w:sz w:val="4"/>
                <w:szCs w:val="4"/>
              </w:rPr>
            </w:pPr>
            <w:r>
              <w:rPr>
                <w:sz w:val="4"/>
                <w:szCs w:val="4"/>
              </w:rPr>
            </w:r>
          </w:p>
        </w:tc>
      </w:tr>
      <w:tr>
        <w:trPr/>
        <w:tc>
          <w:tcPr>
            <w:tcW w:w="1799" w:type="dxa"/>
            <w:tcBorders/>
          </w:tcPr>
          <w:p>
            <w:pPr>
              <w:pStyle w:val="TableContents"/>
              <w:bidi w:val="0"/>
              <w:spacing w:before="0" w:after="283"/>
              <w:jc w:val="left"/>
              <w:rPr/>
            </w:pPr>
            <w:r>
              <w:rPr/>
              <w:t>Title:</w:t>
            </w:r>
          </w:p>
        </w:tc>
        <w:tc>
          <w:tcPr>
            <w:tcW w:w="177" w:type="dxa"/>
            <w:tcBorders/>
            <w:vAlign w:val="bottom"/>
          </w:tcPr>
          <w:p>
            <w:pPr>
              <w:pStyle w:val="TableContents"/>
              <w:bidi w:val="0"/>
              <w:spacing w:before="0" w:after="283"/>
              <w:jc w:val="left"/>
              <w:rPr/>
            </w:pPr>
            <w:r>
              <w:rPr/>
              <w:t> </w:t>
            </w:r>
          </w:p>
        </w:tc>
        <w:tc>
          <w:tcPr>
            <w:tcW w:w="2106"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0" w:after="0"/>
        <w:jc w:val="center"/>
        <w:rPr>
          <w:rFonts w:ascii="Times New Roman" w:hAnsi="Times New Roman"/>
          <w:b/>
          <w:sz w:val="20"/>
        </w:rPr>
      </w:pPr>
      <w:r>
        <w:rPr>
          <w:rFonts w:ascii="Times New Roman" w:hAnsi="Times New Roman"/>
          <w:b/>
          <w:sz w:val="20"/>
        </w:rPr>
        <w:t xml:space="preserve">Form of Reduction Notice </w:t>
      </w:r>
    </w:p>
    <w:p>
      <w:pPr>
        <w:pStyle w:val="TextBody"/>
        <w:bidi w:val="0"/>
        <w:spacing w:before="240" w:after="0"/>
        <w:jc w:val="center"/>
        <w:rPr>
          <w:rFonts w:ascii="Times New Roman" w:hAnsi="Times New Roman"/>
          <w:b/>
          <w:sz w:val="20"/>
        </w:rPr>
      </w:pPr>
      <w:r>
        <w:rPr>
          <w:rFonts w:ascii="Times New Roman" w:hAnsi="Times New Roman"/>
          <w:b/>
          <w:sz w:val="20"/>
        </w:rPr>
        <w:t xml:space="preserve">[LETTERHEAD OF BORROWER] </w:t>
      </w:r>
    </w:p>
    <w:p>
      <w:pPr>
        <w:pStyle w:val="TextBody"/>
        <w:bidi w:val="0"/>
        <w:spacing w:before="240" w:after="0"/>
        <w:jc w:val="left"/>
        <w:rPr>
          <w:rFonts w:ascii="Times New Roman" w:hAnsi="Times New Roman"/>
          <w:sz w:val="20"/>
        </w:rPr>
      </w:pPr>
      <w:r>
        <w:rPr>
          <w:rFonts w:ascii="Times New Roman" w:hAnsi="Times New Roman"/>
          <w:sz w:val="20"/>
        </w:rPr>
        <w:t xml:space="preserve">[Date] </w:t>
      </w:r>
    </w:p>
    <w:p>
      <w:pPr>
        <w:pStyle w:val="TextBody"/>
        <w:bidi w:val="0"/>
        <w:spacing w:before="240" w:after="0"/>
        <w:jc w:val="left"/>
        <w:rPr>
          <w:rFonts w:ascii="Times New Roman" w:hAnsi="Times New Roman"/>
          <w:sz w:val="20"/>
        </w:rPr>
      </w:pPr>
      <w:r>
        <w:rPr>
          <w:rFonts w:ascii="Times New Roman" w:hAnsi="Times New Roman"/>
          <w:sz w:val="20"/>
        </w:rPr>
        <w:t xml:space="preserve">[Administrative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[Lenders] </w:t>
      </w:r>
    </w:p>
    <w:p>
      <w:pPr>
        <w:pStyle w:val="TextBody"/>
        <w:bidi w:val="0"/>
        <w:spacing w:before="240" w:after="0"/>
        <w:jc w:val="left"/>
        <w:rPr>
          <w:rFonts w:ascii="Times New Roman" w:hAnsi="Times New Roman"/>
          <w:sz w:val="20"/>
        </w:rPr>
      </w:pPr>
      <w:r>
        <w:rPr>
          <w:rFonts w:ascii="Times New Roman" w:hAnsi="Times New Roman"/>
          <w:sz w:val="20"/>
        </w:rPr>
        <w:t xml:space="preserve">Re:  Reduction Notice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Reference is hereby made to that certain Receivables Financing Agreement, dated as of February 14, 2023, among Sabre Securitization, LLC (the “</w:t>
      </w:r>
      <w:r>
        <w:rPr>
          <w:rFonts w:ascii="Times New Roman" w:hAnsi="Times New Roman"/>
          <w:sz w:val="20"/>
          <w:u w:val="single"/>
        </w:rPr>
        <w:t>Borrower</w:t>
      </w:r>
      <w:r>
        <w:rPr>
          <w:rFonts w:ascii="Times New Roman" w:hAnsi="Times New Roman"/>
          <w:sz w:val="20"/>
        </w:rPr>
        <w:t>”), Sabre Global Technologies Limited</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Sabre GLBL Inc., </w:t>
      </w:r>
      <w:r>
        <w:rPr>
          <w:rFonts w:ascii="Times New Roman" w:hAnsi="Times New Roman"/>
          <w:strike/>
          <w:color w:val="FF0000"/>
          <w:sz w:val="20"/>
        </w:rPr>
        <w:t>as Servicer (the “Servicer</w:t>
      </w:r>
      <w:r>
        <w:rPr>
          <w:rFonts w:ascii="Times New Roman" w:hAnsi="Times New Roman"/>
          <w:color w:val="0000FF"/>
          <w:sz w:val="20"/>
          <w:u w:val="single"/>
          <w:bdr w:val="double" w:sz="2" w:space="1" w:color="000000"/>
        </w:rPr>
        <w:t>and Sabre Asia Pacific Pte. Ltd., as Servicers (the “Servicers</w:t>
      </w:r>
      <w:r>
        <w:rPr>
          <w:rFonts w:ascii="Times New Roman" w:hAnsi="Times New Roman"/>
          <w:sz w:val="20"/>
        </w:rPr>
        <w:t>”), the Lenders and Lender Representatives party thereto, PNC Bank, National Association, as Administrative Agent (in such capacity, the “</w:t>
      </w:r>
      <w:r>
        <w:rPr>
          <w:rFonts w:ascii="Times New Roman" w:hAnsi="Times New Roman"/>
          <w:sz w:val="20"/>
          <w:u w:val="single"/>
        </w:rPr>
        <w:t>Administrative Agent</w:t>
      </w:r>
      <w:r>
        <w:rPr>
          <w:rFonts w:ascii="Times New Roman" w:hAnsi="Times New Roman"/>
          <w:sz w:val="20"/>
        </w:rPr>
        <w:t>”) and Class A Lender Representative, Centerbridge Credit CS, L.P., as the Class B Lender Representative, and PNC Capital Markets LLC, as Structuring Agent (as amended, restated, supplemented or otherwise modified from time to time, the “</w:t>
      </w:r>
      <w:r>
        <w:rPr>
          <w:rFonts w:ascii="Times New Roman" w:hAnsi="Times New Roman"/>
          <w:sz w:val="20"/>
          <w:u w:val="single"/>
        </w:rPr>
        <w:t>Agreement</w:t>
      </w:r>
      <w:r>
        <w:rPr>
          <w:rFonts w:ascii="Times New Roman" w:hAnsi="Times New Roman"/>
          <w:sz w:val="20"/>
        </w:rPr>
        <w:t xml:space="preserve">”). Capitalized terms used in this Reduction Notice and not otherwise defined herein shall have the meanings assigned thereto in the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letter constitutes a Reduction Notice pursuant to </w:t>
      </w:r>
      <w:r>
        <w:rPr>
          <w:rFonts w:ascii="Times New Roman" w:hAnsi="Times New Roman"/>
          <w:sz w:val="20"/>
          <w:u w:val="single"/>
        </w:rPr>
        <w:t>Section 2.02(d)</w:t>
      </w:r>
      <w:r>
        <w:rPr>
          <w:rFonts w:ascii="Times New Roman" w:hAnsi="Times New Roman"/>
          <w:sz w:val="20"/>
        </w:rPr>
        <w:t xml:space="preserve"> of the Agreement. The Borrower hereby notifies the Administrative Agent and the Lenders that it shall prepay the outstanding Principal of the Lenders in the amount of [$</w:t>
      </w:r>
      <w:r>
        <w:rPr>
          <w:rFonts w:ascii="Times New Roman" w:hAnsi="Times New Roman"/>
          <w:sz w:val="20"/>
          <w:u w:val="single"/>
        </w:rPr>
        <w:t>   </w:t>
      </w:r>
      <w:r>
        <w:rPr>
          <w:rFonts w:ascii="Times New Roman" w:hAnsi="Times New Roman"/>
          <w:sz w:val="20"/>
        </w:rPr>
        <w:t>] to be made on [</w:t>
      </w:r>
      <w:r>
        <w:rPr>
          <w:rFonts w:ascii="Times New Roman" w:hAnsi="Times New Roman"/>
          <w:sz w:val="20"/>
          <w:u w:val="single"/>
        </w:rPr>
        <w:t>   </w:t>
      </w:r>
      <w:r>
        <w:rPr>
          <w:rFonts w:ascii="Times New Roman" w:hAnsi="Times New Roman"/>
          <w:sz w:val="20"/>
        </w:rPr>
        <w:t>, 20_]. After giving effect to such prepayment, the Aggregate Principal will be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Borrower hereby represents and warrants as of the date hereof, and after giving effect to such reduction, as follows: </w:t>
      </w:r>
    </w:p>
    <w:p>
      <w:pPr>
        <w:pStyle w:val="TextBody"/>
        <w:bidi w:val="0"/>
        <w:spacing w:before="120" w:after="0"/>
        <w:jc w:val="left"/>
        <w:rPr>
          <w:rFonts w:ascii="Times New Roman" w:hAnsi="Times New Roman"/>
          <w:sz w:val="20"/>
        </w:rPr>
      </w:pPr>
      <w:r>
        <w:rPr>
          <w:rFonts w:ascii="Times New Roman" w:hAnsi="Times New Roman"/>
          <w:sz w:val="20"/>
        </w:rPr>
        <w:t xml:space="preserve">(i) the representations and warranties of the Borrower and the Servicers contained in </w:t>
      </w:r>
      <w:r>
        <w:rPr>
          <w:rFonts w:ascii="Times New Roman" w:hAnsi="Times New Roman"/>
          <w:sz w:val="20"/>
          <w:u w:val="single"/>
        </w:rPr>
        <w:t>Sections 6.01</w:t>
      </w:r>
      <w:r>
        <w:rPr>
          <w:rFonts w:ascii="Times New Roman" w:hAnsi="Times New Roman"/>
          <w:sz w:val="20"/>
        </w:rPr>
        <w:t xml:space="preserve"> and </w:t>
      </w:r>
      <w:r>
        <w:rPr>
          <w:rFonts w:ascii="Times New Roman" w:hAnsi="Times New Roman"/>
          <w:sz w:val="20"/>
          <w:u w:val="single"/>
        </w:rPr>
        <w:t>6.02</w:t>
      </w:r>
      <w:r>
        <w:rPr>
          <w:rFonts w:ascii="Times New Roman" w:hAnsi="Times New Roman"/>
          <w:sz w:val="20"/>
        </w:rPr>
        <w:t xml:space="preserve"> of the Agreement are true and correct in all material respects on and as of the date of such prepayment as though made on and as of such date unless such representations and warranties by their terms refer to an earlier date, in which case they shall be true and correct in all material respects on and as of such earlier date; </w:t>
      </w:r>
    </w:p>
    <w:p>
      <w:pPr>
        <w:pStyle w:val="TextBody"/>
        <w:bidi w:val="0"/>
        <w:spacing w:before="120" w:after="0"/>
        <w:jc w:val="left"/>
        <w:rPr>
          <w:rFonts w:ascii="Times New Roman" w:hAnsi="Times New Roman"/>
          <w:sz w:val="20"/>
        </w:rPr>
      </w:pPr>
      <w:r>
        <w:rPr>
          <w:rFonts w:ascii="Times New Roman" w:hAnsi="Times New Roman"/>
          <w:sz w:val="20"/>
        </w:rPr>
        <w:t xml:space="preserve">(ii) no Event of Default, Financial Covenant Event or Potential Default has occurred and is continuing, and no Event of Default, Financial Covenant Event or Potential Default would result from such prepayment; </w:t>
      </w:r>
    </w:p>
    <w:p>
      <w:pPr>
        <w:pStyle w:val="TextBody"/>
        <w:bidi w:val="0"/>
        <w:spacing w:before="120" w:after="0"/>
        <w:jc w:val="left"/>
        <w:rPr>
          <w:rFonts w:ascii="Times New Roman" w:hAnsi="Times New Roman"/>
          <w:sz w:val="20"/>
        </w:rPr>
      </w:pPr>
      <w:r>
        <w:rPr>
          <w:rFonts w:ascii="Times New Roman" w:hAnsi="Times New Roman"/>
          <w:sz w:val="20"/>
        </w:rPr>
        <w:t xml:space="preserve">(iii) no Borrowing Base Deficit or Class A Borrowing Base Deficit exists or would exist after giving effect to such prepayment; and </w:t>
      </w:r>
    </w:p>
    <w:p>
      <w:pPr>
        <w:pStyle w:val="TextBody"/>
        <w:bidi w:val="0"/>
        <w:spacing w:before="120" w:after="0"/>
        <w:jc w:val="left"/>
        <w:rPr>
          <w:rFonts w:ascii="Times New Roman" w:hAnsi="Times New Roman"/>
          <w:sz w:val="20"/>
        </w:rPr>
      </w:pPr>
      <w:r>
        <w:rPr>
          <w:rFonts w:ascii="Times New Roman" w:hAnsi="Times New Roman"/>
          <w:sz w:val="20"/>
        </w:rPr>
        <w:t xml:space="preserve">(iv) the Termination Date has not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B-1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has executed this letter by its duly authorized officer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799"/>
        <w:gridCol w:w="177"/>
        <w:gridCol w:w="2106"/>
      </w:tblGrid>
      <w:tr>
        <w:trPr/>
        <w:tc>
          <w:tcPr>
            <w:tcW w:w="1799"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SABRE SECURITIZATION, LLC</w:t>
            </w:r>
          </w:p>
        </w:tc>
      </w:tr>
      <w:tr>
        <w:trPr>
          <w:trHeight w:val="240" w:hRule="atLeast"/>
        </w:trPr>
        <w:tc>
          <w:tcPr>
            <w:tcW w:w="1799" w:type="dxa"/>
            <w:tcBorders/>
            <w:vAlign w:val="center"/>
          </w:tcPr>
          <w:p>
            <w:pPr>
              <w:pStyle w:val="TableContents"/>
              <w:bidi w:val="0"/>
              <w:spacing w:before="0" w:after="283"/>
              <w:jc w:val="left"/>
              <w:rPr>
                <w:sz w:val="4"/>
                <w:szCs w:val="4"/>
              </w:rPr>
            </w:pPr>
            <w:r>
              <w:rPr>
                <w:sz w:val="4"/>
                <w:szCs w:val="4"/>
              </w:rPr>
            </w:r>
          </w:p>
        </w:tc>
        <w:tc>
          <w:tcPr>
            <w:tcW w:w="2283" w:type="dxa"/>
            <w:gridSpan w:val="2"/>
            <w:tcBorders/>
            <w:vAlign w:val="center"/>
          </w:tcPr>
          <w:p>
            <w:pPr>
              <w:pStyle w:val="TableContents"/>
              <w:bidi w:val="0"/>
              <w:spacing w:before="0" w:after="283"/>
              <w:jc w:val="left"/>
              <w:rPr>
                <w:sz w:val="4"/>
                <w:szCs w:val="4"/>
              </w:rPr>
            </w:pPr>
            <w:r>
              <w:rPr>
                <w:sz w:val="4"/>
                <w:szCs w:val="4"/>
              </w:rPr>
            </w:r>
          </w:p>
        </w:tc>
      </w:tr>
      <w:tr>
        <w:trPr/>
        <w:tc>
          <w:tcPr>
            <w:tcW w:w="1799" w:type="dxa"/>
            <w:tcBorders/>
          </w:tcPr>
          <w:p>
            <w:pPr>
              <w:pStyle w:val="TableContents"/>
              <w:bidi w:val="0"/>
              <w:spacing w:before="0" w:after="283"/>
              <w:jc w:val="left"/>
              <w:rPr/>
            </w:pPr>
            <w:r>
              <w:rPr/>
              <w:t>By:</w:t>
            </w:r>
          </w:p>
        </w:tc>
        <w:tc>
          <w:tcPr>
            <w:tcW w:w="177" w:type="dxa"/>
            <w:tcBorders/>
            <w:vAlign w:val="bottom"/>
          </w:tcPr>
          <w:p>
            <w:pPr>
              <w:pStyle w:val="TableContents"/>
              <w:bidi w:val="0"/>
              <w:spacing w:before="0" w:after="283"/>
              <w:jc w:val="left"/>
              <w:rPr/>
            </w:pPr>
            <w:r>
              <w:rPr/>
              <w:t> </w:t>
            </w:r>
          </w:p>
        </w:tc>
        <w:tc>
          <w:tcPr>
            <w:tcW w:w="2106" w:type="dxa"/>
            <w:tcBorders/>
          </w:tcPr>
          <w:p>
            <w:pPr>
              <w:pStyle w:val="TableContents"/>
              <w:pBdr>
                <w:bottom w:val="single" w:sz="2" w:space="1" w:color="000000"/>
              </w:pBdr>
              <w:bidi w:val="0"/>
              <w:spacing w:before="0" w:after="20"/>
              <w:jc w:val="left"/>
              <w:rPr/>
            </w:pPr>
            <w:r>
              <w:rPr/>
              <w:t> </w:t>
            </w:r>
          </w:p>
        </w:tc>
      </w:tr>
      <w:tr>
        <w:trPr/>
        <w:tc>
          <w:tcPr>
            <w:tcW w:w="1799" w:type="dxa"/>
            <w:tcBorders/>
          </w:tcPr>
          <w:p>
            <w:pPr>
              <w:pStyle w:val="TableContents"/>
              <w:bidi w:val="0"/>
              <w:spacing w:before="0" w:after="283"/>
              <w:jc w:val="left"/>
              <w:rPr/>
            </w:pPr>
            <w:r>
              <w:rPr/>
              <w:t>Name:</w:t>
            </w:r>
          </w:p>
        </w:tc>
        <w:tc>
          <w:tcPr>
            <w:tcW w:w="177" w:type="dxa"/>
            <w:tcBorders/>
            <w:vAlign w:val="bottom"/>
          </w:tcPr>
          <w:p>
            <w:pPr>
              <w:pStyle w:val="TableContents"/>
              <w:bidi w:val="0"/>
              <w:spacing w:before="0" w:after="283"/>
              <w:jc w:val="left"/>
              <w:rPr/>
            </w:pPr>
            <w:r>
              <w:rPr/>
              <w:t> </w:t>
            </w:r>
          </w:p>
        </w:tc>
        <w:tc>
          <w:tcPr>
            <w:tcW w:w="2106" w:type="dxa"/>
            <w:tcBorders/>
          </w:tcPr>
          <w:p>
            <w:pPr>
              <w:pStyle w:val="TableContents"/>
              <w:bidi w:val="0"/>
              <w:spacing w:before="0" w:after="283"/>
              <w:jc w:val="left"/>
              <w:rPr>
                <w:sz w:val="4"/>
                <w:szCs w:val="4"/>
              </w:rPr>
            </w:pPr>
            <w:r>
              <w:rPr>
                <w:sz w:val="4"/>
                <w:szCs w:val="4"/>
              </w:rPr>
            </w:r>
          </w:p>
        </w:tc>
      </w:tr>
      <w:tr>
        <w:trPr/>
        <w:tc>
          <w:tcPr>
            <w:tcW w:w="1799" w:type="dxa"/>
            <w:tcBorders/>
          </w:tcPr>
          <w:p>
            <w:pPr>
              <w:pStyle w:val="TableContents"/>
              <w:bidi w:val="0"/>
              <w:spacing w:before="0" w:after="283"/>
              <w:jc w:val="left"/>
              <w:rPr/>
            </w:pPr>
            <w:r>
              <w:rPr/>
              <w:t>Title:</w:t>
            </w:r>
          </w:p>
        </w:tc>
        <w:tc>
          <w:tcPr>
            <w:tcW w:w="177" w:type="dxa"/>
            <w:tcBorders/>
            <w:vAlign w:val="bottom"/>
          </w:tcPr>
          <w:p>
            <w:pPr>
              <w:pStyle w:val="TableContents"/>
              <w:bidi w:val="0"/>
              <w:spacing w:before="0" w:after="283"/>
              <w:jc w:val="left"/>
              <w:rPr/>
            </w:pPr>
            <w:r>
              <w:rPr/>
              <w:t> </w:t>
            </w:r>
          </w:p>
        </w:tc>
        <w:tc>
          <w:tcPr>
            <w:tcW w:w="2106"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B-2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CUSIP Number: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EXHIBIT C </w:t>
      </w:r>
    </w:p>
    <w:p>
      <w:pPr>
        <w:pStyle w:val="TextBody"/>
        <w:bidi w:val="0"/>
        <w:spacing w:before="0" w:after="0"/>
        <w:jc w:val="center"/>
        <w:rPr>
          <w:rFonts w:ascii="Times New Roman" w:hAnsi="Times New Roman"/>
          <w:b/>
          <w:sz w:val="20"/>
        </w:rPr>
      </w:pPr>
      <w:r>
        <w:rPr>
          <w:rFonts w:ascii="Times New Roman" w:hAnsi="Times New Roman"/>
          <w:b/>
          <w:sz w:val="20"/>
        </w:rPr>
        <w:t xml:space="preserve">Form of Assignment and Assumption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ASSIGNMENT AND ASSUMPTION AGREEMENT1 </w:t>
      </w:r>
    </w:p>
    <w:p>
      <w:pPr>
        <w:pStyle w:val="TextBody"/>
        <w:bidi w:val="0"/>
        <w:spacing w:before="240" w:after="0"/>
        <w:jc w:val="left"/>
        <w:rPr>
          <w:rFonts w:ascii="Times New Roman" w:hAnsi="Times New Roman"/>
          <w:sz w:val="20"/>
        </w:rPr>
      </w:pPr>
      <w:r>
        <w:rPr>
          <w:rFonts w:ascii="Times New Roman" w:hAnsi="Times New Roman"/>
          <w:sz w:val="20"/>
        </w:rPr>
        <w:t>This Assignment and Assumption Agreement (the “</w:t>
      </w:r>
      <w:r>
        <w:rPr>
          <w:rFonts w:ascii="Times New Roman" w:hAnsi="Times New Roman"/>
          <w:sz w:val="20"/>
          <w:u w:val="single"/>
        </w:rPr>
        <w:t>Assignment and Assumption</w:t>
      </w:r>
      <w:r>
        <w:rPr>
          <w:rFonts w:ascii="Times New Roman" w:hAnsi="Times New Roman"/>
          <w:sz w:val="20"/>
        </w:rPr>
        <w:t>”) is dated as of the Effective Date specified below and is entered into by and between [the][each]2 Assignor identified in item 1 below ([the][each, an] “</w:t>
      </w:r>
      <w:r>
        <w:rPr>
          <w:rFonts w:ascii="Times New Roman" w:hAnsi="Times New Roman"/>
          <w:sz w:val="20"/>
          <w:u w:val="single"/>
        </w:rPr>
        <w:t>Assignor</w:t>
      </w:r>
      <w:r>
        <w:rPr>
          <w:rFonts w:ascii="Times New Roman" w:hAnsi="Times New Roman"/>
          <w:sz w:val="20"/>
        </w:rPr>
        <w:t>”) and [the][each] 3 Assignee identified in item 2 below ([the][each, an] “</w:t>
      </w:r>
      <w:r>
        <w:rPr>
          <w:rFonts w:ascii="Times New Roman" w:hAnsi="Times New Roman"/>
          <w:sz w:val="20"/>
          <w:u w:val="single"/>
        </w:rPr>
        <w:t>Assignee</w:t>
      </w:r>
      <w:r>
        <w:rPr>
          <w:rFonts w:ascii="Times New Roman" w:hAnsi="Times New Roman"/>
          <w:sz w:val="20"/>
        </w:rPr>
        <w:t>”). [It is understood and agreed that the rights and obligations of [the Assignors][the Assignees]4 hereunder are several and not joint.]5 Capitalized terms used but not defined herein shall have the meanings given to them in the Receivables Financing Agreement identified below (as amended, the “</w:t>
      </w:r>
      <w:r>
        <w:rPr>
          <w:rFonts w:ascii="Times New Roman" w:hAnsi="Times New Roman"/>
          <w:sz w:val="20"/>
          <w:u w:val="single"/>
        </w:rPr>
        <w:t>Receivables Financing Agreement</w:t>
      </w:r>
      <w:r>
        <w:rPr>
          <w:rFonts w:ascii="Times New Roman" w:hAnsi="Times New Roman"/>
          <w:sz w:val="20"/>
        </w:rPr>
        <w:t xml:space="preserve">”), receipt of a copy of which is hereby acknowledged by [the][each] Assignee. The Standard Terms and Conditions specified in Annex 1 attached hereto are hereby agreed to and incorporated herein by reference and made a part of this Assignment and Assumption as if specified herein in full. </w:t>
      </w:r>
    </w:p>
    <w:p>
      <w:pPr>
        <w:pStyle w:val="TextBody"/>
        <w:bidi w:val="0"/>
        <w:spacing w:before="240" w:after="0"/>
        <w:jc w:val="left"/>
        <w:rPr>
          <w:rFonts w:ascii="Times New Roman" w:hAnsi="Times New Roman"/>
          <w:sz w:val="20"/>
        </w:rPr>
      </w:pPr>
      <w:r>
        <w:rPr>
          <w:rFonts w:ascii="Times New Roman" w:hAnsi="Times New Roman"/>
          <w:sz w:val="20"/>
        </w:rPr>
        <w:t xml:space="preserve">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Receivables Financing Agreement, as of the Effective Date inserted by the Administrative Agent as contemplated below (i) all of [the Assignor’s][the respective Assignors’] rights and obligations in [its capacity as a Lender][their respective capacities as Lenders] under the Receivables Financing Agreement and any other documents or instruments delivered pursuant thereto to the extent related to the amount and percentage interest identified below of all of such outstanding rights and obligations of [the Assignor][the respective Assignors] under the respective facilities identified below (including without limitation any letters of credit, guarantees, and swingline loans, as applicable, included in such facilities),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Receivables Financing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LSTA’s Form of Assignment Agreement has been drafted so that parties need not tailor the agreement depending on the identity of each assignee. In this way, electronic settlement platforms do not need to create “pop-ups”, i.e., questions which appear or “pop-up” on the screen of the person completing the assignment agreement and which must be answered before the assignment agreement can be populated and finalized. By avoiding “pop-ups”, the loan market can operate more efficiently, for trades will be able to settle more promptly.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bracketed language here and elsewhere in this form relating to the Assignor(s), if the assignment is from a single Assignor, choose the first bracketed language. If the assignment is from multiple Assignors, choose the second bracketed language.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bracketed language here and elsewhere in this form relating to the Assignee(s), if the assignment is to a single Assignee, choose the first bracketed language. If the assignment is to multiple Assignees, choose the second bracketed language.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Select as appropriate.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bracketed language if there are either multiple Assignors or multiple Assignees.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C-1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being referred to herein collectively as [the][an] “</w:t>
      </w:r>
      <w:r>
        <w:rPr>
          <w:rFonts w:ascii="Times New Roman" w:hAnsi="Times New Roman"/>
          <w:sz w:val="20"/>
          <w:u w:val="single"/>
        </w:rPr>
        <w:t>Assigned Interest</w:t>
      </w:r>
      <w:r>
        <w:rPr>
          <w:rFonts w:ascii="Times New Roman" w:hAnsi="Times New Roman"/>
          <w:sz w:val="20"/>
        </w:rPr>
        <w:t xml:space="preserve">”). Each such sale and assignment is without recourse to [the][any] Assignor and, except as expressly provided in this Assignment and Assumption, without representation or warranty by [the][any] Assignor.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Assignor[s]:    </w:t>
            </w:r>
            <w:r>
              <w:rPr>
                <w:rFonts w:ascii="Times New Roman" w:hAnsi="Times New Roman"/>
                <w:sz w:val="20"/>
                <w:u w:val="single"/>
              </w:rPr>
              <w:t>               </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    </w:t>
            </w:r>
            <w:r>
              <w:rPr>
                <w:u w:val="single"/>
              </w:rPr>
              <w:t>               </w:t>
            </w:r>
          </w:p>
        </w:tc>
        <w:tc>
          <w:tcPr>
            <w:tcW w:w="837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Assignee[s]:    </w:t>
            </w:r>
            <w:r>
              <w:rPr>
                <w:rFonts w:ascii="Times New Roman" w:hAnsi="Times New Roman"/>
                <w:sz w:val="20"/>
                <w:u w:val="single"/>
              </w:rPr>
              <w:t>               </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[Assignee is an [Affiliate][Approved Fund] of [</w:t>
      </w:r>
      <w:r>
        <w:rPr>
          <w:rFonts w:ascii="Times New Roman" w:hAnsi="Times New Roman"/>
          <w:i/>
          <w:sz w:val="20"/>
        </w:rPr>
        <w:t>identify Lender</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3.</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Borrower(s):    </w:t>
            </w:r>
            <w:r>
              <w:rPr>
                <w:rFonts w:ascii="Times New Roman" w:hAnsi="Times New Roman"/>
                <w:sz w:val="20"/>
                <w:u w:val="single"/>
              </w:rPr>
              <w:t>               </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4. Administrative Agent: </w:t>
      </w:r>
      <w:r>
        <w:rPr>
          <w:rFonts w:ascii="Times New Roman" w:hAnsi="Times New Roman"/>
          <w:sz w:val="20"/>
          <w:u w:val="single"/>
        </w:rPr>
        <w:t>        </w:t>
      </w:r>
      <w:r>
        <w:rPr>
          <w:rFonts w:ascii="Times New Roman" w:hAnsi="Times New Roman"/>
          <w:sz w:val="20"/>
        </w:rPr>
        <w:t xml:space="preserve">, as the administrative agent under the Receivables Financing Agreement </w:t>
      </w:r>
    </w:p>
    <w:p>
      <w:pPr>
        <w:pStyle w:val="TextBody"/>
        <w:bidi w:val="0"/>
        <w:spacing w:before="120" w:after="0"/>
        <w:jc w:val="left"/>
        <w:rPr>
          <w:rFonts w:ascii="Times New Roman" w:hAnsi="Times New Roman"/>
          <w:sz w:val="20"/>
        </w:rPr>
      </w:pPr>
      <w:r>
        <w:rPr>
          <w:rFonts w:ascii="Times New Roman" w:hAnsi="Times New Roman"/>
          <w:sz w:val="20"/>
        </w:rPr>
        <w:t>5. Receivables Financing Agreement: Receivables Financing Agreement, dated as of February 14, 2023, among Sabre Securitization, LLC (the “</w:t>
      </w:r>
      <w:r>
        <w:rPr>
          <w:rFonts w:ascii="Times New Roman" w:hAnsi="Times New Roman"/>
          <w:sz w:val="20"/>
          <w:u w:val="single"/>
        </w:rPr>
        <w:t>Borrower</w:t>
      </w:r>
      <w:r>
        <w:rPr>
          <w:rFonts w:ascii="Times New Roman" w:hAnsi="Times New Roman"/>
          <w:sz w:val="20"/>
        </w:rPr>
        <w:t>”), Sabre Global Technologies Limited</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Sabre GLBL Inc., </w:t>
      </w:r>
      <w:r>
        <w:rPr>
          <w:rFonts w:ascii="Times New Roman" w:hAnsi="Times New Roman"/>
          <w:strike/>
          <w:color w:val="FF0000"/>
          <w:sz w:val="20"/>
        </w:rPr>
        <w:t>as Servicer (the “</w:t>
      </w:r>
      <w:r>
        <w:rPr>
          <w:rFonts w:ascii="Times New Roman" w:hAnsi="Times New Roman"/>
          <w:strike/>
          <w:color w:val="FF0000"/>
          <w:sz w:val="20"/>
          <w:u w:val="single"/>
        </w:rPr>
        <w:t>Servicer</w:t>
      </w:r>
      <w:r>
        <w:rPr>
          <w:rFonts w:ascii="Times New Roman" w:hAnsi="Times New Roman"/>
          <w:color w:val="0000FF"/>
          <w:sz w:val="20"/>
          <w:u w:val="single"/>
          <w:bdr w:val="double" w:sz="2" w:space="1" w:color="000000"/>
        </w:rPr>
        <w:t>and Sabre Asia Pacific Pte. Ltd., as Servicers (the “Servicers</w:t>
      </w:r>
      <w:r>
        <w:rPr>
          <w:rFonts w:ascii="Times New Roman" w:hAnsi="Times New Roman"/>
          <w:sz w:val="20"/>
        </w:rPr>
        <w:t>”), the Lenders and Lender Representatives party thereto, PNC Bank, National Association, as Administrative Agent (in such capacity, the “</w:t>
      </w:r>
      <w:r>
        <w:rPr>
          <w:rFonts w:ascii="Times New Roman" w:hAnsi="Times New Roman"/>
          <w:sz w:val="20"/>
          <w:u w:val="single"/>
        </w:rPr>
        <w:t>Administrative Agent</w:t>
      </w:r>
      <w:r>
        <w:rPr>
          <w:rFonts w:ascii="Times New Roman" w:hAnsi="Times New Roman"/>
          <w:sz w:val="20"/>
        </w:rPr>
        <w:t>”) and Class A Lender Representative, Centerbridge Credit CS, L.P., as the Class B Lender Representative, and PNC Capital Markets LLC, as Structuring Agent ((as amended, restated, supplemented or otherwise modified from time to time, the “</w:t>
      </w:r>
      <w:r>
        <w:rPr>
          <w:rFonts w:ascii="Times New Roman" w:hAnsi="Times New Roman"/>
          <w:sz w:val="20"/>
          <w:u w:val="single"/>
        </w:rPr>
        <w:t>Receivables Financing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6. Assigned Interest[s]: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01"/>
        <w:gridCol w:w="219"/>
        <w:gridCol w:w="482"/>
        <w:gridCol w:w="483"/>
        <w:gridCol w:w="60"/>
        <w:gridCol w:w="219"/>
        <w:gridCol w:w="512"/>
        <w:gridCol w:w="513"/>
        <w:gridCol w:w="60"/>
        <w:gridCol w:w="219"/>
        <w:gridCol w:w="919"/>
        <w:gridCol w:w="393"/>
        <w:gridCol w:w="60"/>
        <w:gridCol w:w="218"/>
        <w:gridCol w:w="919"/>
        <w:gridCol w:w="393"/>
        <w:gridCol w:w="60"/>
        <w:gridCol w:w="219"/>
        <w:gridCol w:w="285"/>
        <w:gridCol w:w="1025"/>
        <w:gridCol w:w="60"/>
        <w:gridCol w:w="219"/>
        <w:gridCol w:w="400"/>
        <w:gridCol w:w="400"/>
        <w:gridCol w:w="67"/>
      </w:tblGrid>
      <w:tr>
        <w:trPr/>
        <w:tc>
          <w:tcPr>
            <w:tcW w:w="1801"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1801"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Assignor[s]6</w:t>
            </w:r>
          </w:p>
        </w:tc>
        <w:tc>
          <w:tcPr>
            <w:tcW w:w="219"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t>Assignee[s]7</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bottom"/>
          </w:tcPr>
          <w:p>
            <w:pPr>
              <w:pStyle w:val="TableContents"/>
              <w:bidi w:val="0"/>
              <w:spacing w:before="0" w:after="283"/>
              <w:jc w:val="center"/>
              <w:rPr/>
            </w:pPr>
            <w:r>
              <w:rPr/>
              <w:t>Facility</w:t>
              <w:br/>
              <w:t>Assigned8</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312" w:type="dxa"/>
            <w:gridSpan w:val="2"/>
            <w:tcBorders>
              <w:bottom w:val="single" w:sz="8" w:space="0" w:color="000000"/>
            </w:tcBorders>
            <w:tcMar>
              <w:bottom w:w="28" w:type="dxa"/>
            </w:tcMar>
            <w:vAlign w:val="bottom"/>
          </w:tcPr>
          <w:p>
            <w:pPr>
              <w:pStyle w:val="TableContents"/>
              <w:bidi w:val="0"/>
              <w:spacing w:before="0" w:after="283"/>
              <w:jc w:val="center"/>
              <w:rPr/>
            </w:pPr>
            <w:r>
              <w:rPr/>
              <w:t>Aggregate</w:t>
              <w:br/>
              <w:t>Amount of</w:t>
              <w:br/>
              <w:t>Commitment/</w:t>
              <w:br/>
              <w:t>Loans for all</w:t>
              <w:br/>
              <w:t>Lenders9</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312" w:type="dxa"/>
            <w:gridSpan w:val="2"/>
            <w:tcBorders>
              <w:bottom w:val="single" w:sz="8" w:space="0" w:color="000000"/>
            </w:tcBorders>
            <w:tcMar>
              <w:bottom w:w="28" w:type="dxa"/>
            </w:tcMar>
            <w:vAlign w:val="bottom"/>
          </w:tcPr>
          <w:p>
            <w:pPr>
              <w:pStyle w:val="TableContents"/>
              <w:bidi w:val="0"/>
              <w:spacing w:before="0" w:after="283"/>
              <w:jc w:val="center"/>
              <w:rPr/>
            </w:pPr>
            <w:r>
              <w:rPr/>
              <w:t>Amount of</w:t>
              <w:br/>
              <w:t>Commitment/</w:t>
              <w:br/>
              <w:t>Loans</w:t>
              <w:br/>
              <w:t>Assigned8</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t>Percentage</w:t>
              <w:br/>
              <w:t>Assigned of</w:t>
              <w:br/>
              <w:t>Commitment/</w:t>
              <w:br/>
              <w:t>Loans10</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CUSIP</w:t>
              <w:br/>
              <w:t>Number</w:t>
            </w:r>
          </w:p>
        </w:tc>
        <w:tc>
          <w:tcPr>
            <w:tcW w:w="67" w:type="dxa"/>
            <w:tcBorders/>
            <w:vAlign w:val="bottom"/>
          </w:tcPr>
          <w:p>
            <w:pPr>
              <w:pStyle w:val="TableContents"/>
              <w:bidi w:val="0"/>
              <w:spacing w:before="0" w:after="283"/>
              <w:jc w:val="left"/>
              <w:rPr/>
            </w:pPr>
            <w:r>
              <w:rPr/>
              <w:t> </w:t>
            </w:r>
          </w:p>
        </w:tc>
      </w:tr>
      <w:tr>
        <w:trPr/>
        <w:tc>
          <w:tcPr>
            <w:tcW w:w="1801" w:type="dxa"/>
            <w:tcBorders/>
            <w:shd w:fill="CCEEFF" w:val="clear"/>
          </w:tcPr>
          <w:p>
            <w:pPr>
              <w:pStyle w:val="TableContents"/>
              <w:bidi w:val="0"/>
              <w:spacing w:before="0" w:after="283"/>
              <w:jc w:val="left"/>
              <w:rPr>
                <w:sz w:val="4"/>
                <w:szCs w:val="4"/>
              </w:rPr>
            </w:pPr>
            <w:r>
              <w:rPr>
                <w:sz w:val="4"/>
                <w:szCs w:val="4"/>
              </w:rPr>
            </w:r>
          </w:p>
        </w:tc>
        <w:tc>
          <w:tcPr>
            <w:tcW w:w="219"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283"/>
              <w:jc w:val="left"/>
              <w:rPr>
                <w:sz w:val="4"/>
                <w:szCs w:val="4"/>
              </w:rPr>
            </w:pPr>
            <w:r>
              <w:rPr>
                <w:sz w:val="4"/>
                <w:szCs w:val="4"/>
              </w:rPr>
            </w:r>
          </w:p>
        </w:tc>
        <w:tc>
          <w:tcPr>
            <w:tcW w:w="4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9" w:type="dxa"/>
            <w:tcBorders/>
            <w:shd w:fill="CCEEFF" w:val="clear"/>
            <w:vAlign w:val="bottom"/>
          </w:tcPr>
          <w:p>
            <w:pPr>
              <w:pStyle w:val="TableContents"/>
              <w:bidi w:val="0"/>
              <w:spacing w:before="0" w:after="283"/>
              <w:jc w:val="left"/>
              <w:rPr/>
            </w:pPr>
            <w:r>
              <w:rPr/>
              <w:t>  </w:t>
            </w:r>
          </w:p>
        </w:tc>
        <w:tc>
          <w:tcPr>
            <w:tcW w:w="512" w:type="dxa"/>
            <w:tcBorders/>
            <w:shd w:fill="CCEEFF" w:val="clear"/>
            <w:vAlign w:val="bottom"/>
          </w:tcPr>
          <w:p>
            <w:pPr>
              <w:pStyle w:val="TableContents"/>
              <w:bidi w:val="0"/>
              <w:spacing w:before="0" w:after="283"/>
              <w:jc w:val="left"/>
              <w:rPr>
                <w:sz w:val="4"/>
                <w:szCs w:val="4"/>
              </w:rPr>
            </w:pPr>
            <w:r>
              <w:rPr>
                <w:sz w:val="4"/>
                <w:szCs w:val="4"/>
              </w:rPr>
            </w:r>
          </w:p>
        </w:tc>
        <w:tc>
          <w:tcPr>
            <w:tcW w:w="5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9"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left"/>
              <w:rPr/>
            </w:pPr>
            <w:r>
              <w:rPr/>
              <w:t>$</w:t>
            </w:r>
          </w:p>
        </w:tc>
        <w:tc>
          <w:tcPr>
            <w:tcW w:w="3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left"/>
              <w:rPr/>
            </w:pPr>
            <w:r>
              <w:rPr/>
              <w:t>$</w:t>
            </w:r>
          </w:p>
        </w:tc>
        <w:tc>
          <w:tcPr>
            <w:tcW w:w="3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1801" w:type="dxa"/>
            <w:tcBorders/>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sz w:val="4"/>
                <w:szCs w:val="4"/>
              </w:rPr>
            </w:pPr>
            <w:r>
              <w:rPr>
                <w:sz w:val="4"/>
                <w:szCs w:val="4"/>
              </w:rPr>
            </w:r>
          </w:p>
        </w:tc>
        <w:tc>
          <w:tcPr>
            <w:tcW w:w="4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512"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left"/>
              <w:rPr/>
            </w:pPr>
            <w:r>
              <w:rPr/>
              <w:t>$</w:t>
            </w:r>
          </w:p>
        </w:tc>
        <w:tc>
          <w:tcPr>
            <w:tcW w:w="3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left"/>
              <w:rPr/>
            </w:pPr>
            <w:r>
              <w:rPr/>
              <w:t>$</w:t>
            </w:r>
          </w:p>
        </w:tc>
        <w:tc>
          <w:tcPr>
            <w:tcW w:w="3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1801" w:type="dxa"/>
            <w:tcBorders/>
            <w:shd w:fill="CCEEFF" w:val="clear"/>
          </w:tcPr>
          <w:p>
            <w:pPr>
              <w:pStyle w:val="TableContents"/>
              <w:bidi w:val="0"/>
              <w:spacing w:before="0" w:after="283"/>
              <w:jc w:val="left"/>
              <w:rPr>
                <w:sz w:val="4"/>
                <w:szCs w:val="4"/>
              </w:rPr>
            </w:pPr>
            <w:r>
              <w:rPr>
                <w:sz w:val="4"/>
                <w:szCs w:val="4"/>
              </w:rPr>
            </w:r>
          </w:p>
        </w:tc>
        <w:tc>
          <w:tcPr>
            <w:tcW w:w="219"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283"/>
              <w:jc w:val="left"/>
              <w:rPr>
                <w:sz w:val="4"/>
                <w:szCs w:val="4"/>
              </w:rPr>
            </w:pPr>
            <w:r>
              <w:rPr>
                <w:sz w:val="4"/>
                <w:szCs w:val="4"/>
              </w:rPr>
            </w:r>
          </w:p>
        </w:tc>
        <w:tc>
          <w:tcPr>
            <w:tcW w:w="4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9" w:type="dxa"/>
            <w:tcBorders/>
            <w:shd w:fill="CCEEFF" w:val="clear"/>
            <w:vAlign w:val="bottom"/>
          </w:tcPr>
          <w:p>
            <w:pPr>
              <w:pStyle w:val="TableContents"/>
              <w:bidi w:val="0"/>
              <w:spacing w:before="0" w:after="283"/>
              <w:jc w:val="left"/>
              <w:rPr/>
            </w:pPr>
            <w:r>
              <w:rPr/>
              <w:t>  </w:t>
            </w:r>
          </w:p>
        </w:tc>
        <w:tc>
          <w:tcPr>
            <w:tcW w:w="512" w:type="dxa"/>
            <w:tcBorders/>
            <w:shd w:fill="CCEEFF" w:val="clear"/>
            <w:vAlign w:val="bottom"/>
          </w:tcPr>
          <w:p>
            <w:pPr>
              <w:pStyle w:val="TableContents"/>
              <w:bidi w:val="0"/>
              <w:spacing w:before="0" w:after="283"/>
              <w:jc w:val="left"/>
              <w:rPr>
                <w:sz w:val="4"/>
                <w:szCs w:val="4"/>
              </w:rPr>
            </w:pPr>
            <w:r>
              <w:rPr>
                <w:sz w:val="4"/>
                <w:szCs w:val="4"/>
              </w:rPr>
            </w:r>
          </w:p>
        </w:tc>
        <w:tc>
          <w:tcPr>
            <w:tcW w:w="5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9"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left"/>
              <w:rPr/>
            </w:pPr>
            <w:r>
              <w:rPr/>
              <w:t>$</w:t>
            </w:r>
          </w:p>
        </w:tc>
        <w:tc>
          <w:tcPr>
            <w:tcW w:w="3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left"/>
              <w:rPr/>
            </w:pPr>
            <w:r>
              <w:rPr/>
              <w:t>$</w:t>
            </w:r>
          </w:p>
        </w:tc>
        <w:tc>
          <w:tcPr>
            <w:tcW w:w="3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List each Assignor, as appropriate.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List each Assignee, as appropriate.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Fill in the appropriate terminology for the types of facilities under the Receivables Financing Agreement that are being assigned under this Assignment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 to be adjusted by the counterparties to take into account any payments or prepayments made between the Trade Date and the Effective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Specified, to at least 9 decimals, as a percentage of the Commitment/Loans of all Lenders thereunder.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C-2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Trade Date:           </w:t>
            </w:r>
            <w:r>
              <w:rPr>
                <w:rFonts w:ascii="Times New Roman" w:hAnsi="Times New Roman"/>
                <w:sz w:val="20"/>
                <w:u w:val="single"/>
              </w:rPr>
              <w:t>       </w:t>
            </w:r>
            <w:r>
              <w:rPr>
                <w:rFonts w:ascii="Times New Roman" w:hAnsi="Times New Roman"/>
                <w:sz w:val="20"/>
              </w:rPr>
              <w:t xml:space="preserve">]11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[Page break]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completed if the Assignor(s) and the Assignee(s) intend that the minimum assignment amount is to be determined as of the Trade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C-3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Effective Date: </w:t>
      </w:r>
      <w:r>
        <w:rPr>
          <w:rFonts w:ascii="Times New Roman" w:hAnsi="Times New Roman"/>
          <w:sz w:val="20"/>
          <w:u w:val="single"/>
        </w:rPr>
        <w:t>         </w:t>
      </w: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 20</w:t>
      </w:r>
      <w:r>
        <w:rPr>
          <w:rFonts w:ascii="Times New Roman" w:hAnsi="Times New Roman"/>
          <w:sz w:val="20"/>
          <w:u w:val="single"/>
        </w:rPr>
        <w:t>  </w:t>
      </w:r>
      <w:r>
        <w:rPr>
          <w:rFonts w:ascii="Times New Roman" w:hAnsi="Times New Roman"/>
          <w:sz w:val="20"/>
        </w:rPr>
        <w:t xml:space="preserve">[TO BE INSERTED BY ADMINISTRATIVE AGENT AND WHICH SHALL BE THE EFFECTIVE DATE OF RECORDATION OF TRANSFER IN THE REGISTER THEREFOR.] </w:t>
      </w:r>
    </w:p>
    <w:p>
      <w:pPr>
        <w:pStyle w:val="TextBody"/>
        <w:bidi w:val="0"/>
        <w:spacing w:before="240" w:after="0"/>
        <w:jc w:val="left"/>
        <w:rPr>
          <w:rFonts w:ascii="Times New Roman" w:hAnsi="Times New Roman"/>
          <w:sz w:val="20"/>
        </w:rPr>
      </w:pPr>
      <w:r>
        <w:rPr>
          <w:rFonts w:ascii="Times New Roman" w:hAnsi="Times New Roman"/>
          <w:sz w:val="20"/>
        </w:rPr>
        <w:t xml:space="preserve">The terms specified in this Assignment and Assumption are hereby agreed to: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007"/>
        <w:gridCol w:w="187"/>
        <w:gridCol w:w="2888"/>
      </w:tblGrid>
      <w:tr>
        <w:trPr/>
        <w:tc>
          <w:tcPr>
            <w:tcW w:w="1007"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u w:val="single"/>
              </w:rPr>
              <w:t>ASSIGNOR[S]</w:t>
            </w:r>
            <w:r>
              <w:rPr/>
              <w:t>12</w:t>
            </w:r>
          </w:p>
        </w:tc>
      </w:tr>
      <w:tr>
        <w:trPr/>
        <w:tc>
          <w:tcPr>
            <w:tcW w:w="4082" w:type="dxa"/>
            <w:gridSpan w:val="3"/>
            <w:tcBorders/>
          </w:tcPr>
          <w:p>
            <w:pPr>
              <w:pStyle w:val="TableContents"/>
              <w:bidi w:val="0"/>
              <w:spacing w:before="0" w:after="283"/>
              <w:jc w:val="left"/>
              <w:rPr/>
            </w:pPr>
            <w:r>
              <w:rPr/>
              <w:t>[NAME OF ASSIGNOR]</w:t>
            </w:r>
          </w:p>
        </w:tc>
      </w:tr>
      <w:tr>
        <w:trPr>
          <w:trHeight w:val="240" w:hRule="atLeast"/>
        </w:trPr>
        <w:tc>
          <w:tcPr>
            <w:tcW w:w="1007" w:type="dxa"/>
            <w:tcBorders/>
            <w:vAlign w:val="center"/>
          </w:tcPr>
          <w:p>
            <w:pPr>
              <w:pStyle w:val="TableContents"/>
              <w:bidi w:val="0"/>
              <w:spacing w:before="0" w:after="283"/>
              <w:jc w:val="left"/>
              <w:rPr>
                <w:sz w:val="4"/>
                <w:szCs w:val="4"/>
              </w:rPr>
            </w:pPr>
            <w:r>
              <w:rPr>
                <w:sz w:val="4"/>
                <w:szCs w:val="4"/>
              </w:rPr>
            </w:r>
          </w:p>
        </w:tc>
        <w:tc>
          <w:tcPr>
            <w:tcW w:w="3075" w:type="dxa"/>
            <w:gridSpan w:val="2"/>
            <w:tcBorders/>
            <w:vAlign w:val="center"/>
          </w:tcPr>
          <w:p>
            <w:pPr>
              <w:pStyle w:val="TableContents"/>
              <w:bidi w:val="0"/>
              <w:spacing w:before="0" w:after="283"/>
              <w:jc w:val="left"/>
              <w:rPr>
                <w:sz w:val="4"/>
                <w:szCs w:val="4"/>
              </w:rPr>
            </w:pPr>
            <w:r>
              <w:rPr>
                <w:sz w:val="4"/>
                <w:szCs w:val="4"/>
              </w:rPr>
            </w:r>
          </w:p>
        </w:tc>
      </w:tr>
      <w:tr>
        <w:trPr/>
        <w:tc>
          <w:tcPr>
            <w:tcW w:w="1007" w:type="dxa"/>
            <w:tcBorders/>
          </w:tcPr>
          <w:p>
            <w:pPr>
              <w:pStyle w:val="TableContents"/>
              <w:bidi w:val="0"/>
              <w:spacing w:before="0" w:after="283"/>
              <w:jc w:val="left"/>
              <w:rPr/>
            </w:pPr>
            <w:r>
              <w:rPr/>
              <w:t>By:</w:t>
            </w:r>
          </w:p>
        </w:tc>
        <w:tc>
          <w:tcPr>
            <w:tcW w:w="187" w:type="dxa"/>
            <w:tcBorders/>
            <w:vAlign w:val="bottom"/>
          </w:tcPr>
          <w:p>
            <w:pPr>
              <w:pStyle w:val="TableContents"/>
              <w:bidi w:val="0"/>
              <w:spacing w:before="0" w:after="283"/>
              <w:jc w:val="left"/>
              <w:rPr/>
            </w:pPr>
            <w:r>
              <w:rPr/>
              <w:t> </w:t>
            </w:r>
          </w:p>
        </w:tc>
        <w:tc>
          <w:tcPr>
            <w:tcW w:w="2888"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  </w:t>
            </w: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OF ASSIGNOR]</w:t>
            </w:r>
          </w:p>
        </w:tc>
      </w:tr>
      <w:tr>
        <w:trPr>
          <w:trHeight w:val="240" w:hRule="atLeast"/>
        </w:trPr>
        <w:tc>
          <w:tcPr>
            <w:tcW w:w="1007" w:type="dxa"/>
            <w:tcBorders/>
            <w:vAlign w:val="center"/>
          </w:tcPr>
          <w:p>
            <w:pPr>
              <w:pStyle w:val="TableContents"/>
              <w:bidi w:val="0"/>
              <w:spacing w:before="0" w:after="283"/>
              <w:jc w:val="left"/>
              <w:rPr>
                <w:sz w:val="4"/>
                <w:szCs w:val="4"/>
              </w:rPr>
            </w:pPr>
            <w:r>
              <w:rPr>
                <w:sz w:val="4"/>
                <w:szCs w:val="4"/>
              </w:rPr>
            </w:r>
          </w:p>
        </w:tc>
        <w:tc>
          <w:tcPr>
            <w:tcW w:w="3075" w:type="dxa"/>
            <w:gridSpan w:val="2"/>
            <w:tcBorders/>
            <w:vAlign w:val="center"/>
          </w:tcPr>
          <w:p>
            <w:pPr>
              <w:pStyle w:val="TableContents"/>
              <w:bidi w:val="0"/>
              <w:spacing w:before="0" w:after="283"/>
              <w:jc w:val="left"/>
              <w:rPr>
                <w:sz w:val="4"/>
                <w:szCs w:val="4"/>
              </w:rPr>
            </w:pPr>
            <w:r>
              <w:rPr>
                <w:sz w:val="4"/>
                <w:szCs w:val="4"/>
              </w:rPr>
            </w:r>
          </w:p>
        </w:tc>
      </w:tr>
      <w:tr>
        <w:trPr/>
        <w:tc>
          <w:tcPr>
            <w:tcW w:w="1007" w:type="dxa"/>
            <w:tcBorders/>
          </w:tcPr>
          <w:p>
            <w:pPr>
              <w:pStyle w:val="TableContents"/>
              <w:bidi w:val="0"/>
              <w:spacing w:before="0" w:after="283"/>
              <w:jc w:val="left"/>
              <w:rPr/>
            </w:pPr>
            <w:r>
              <w:rPr/>
              <w:t>By:</w:t>
            </w:r>
          </w:p>
        </w:tc>
        <w:tc>
          <w:tcPr>
            <w:tcW w:w="187" w:type="dxa"/>
            <w:tcBorders/>
            <w:vAlign w:val="bottom"/>
          </w:tcPr>
          <w:p>
            <w:pPr>
              <w:pStyle w:val="TableContents"/>
              <w:bidi w:val="0"/>
              <w:spacing w:before="0" w:after="283"/>
              <w:jc w:val="left"/>
              <w:rPr/>
            </w:pPr>
            <w:r>
              <w:rPr/>
              <w:t> </w:t>
            </w:r>
          </w:p>
        </w:tc>
        <w:tc>
          <w:tcPr>
            <w:tcW w:w="2888"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  </w:t>
            </w: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u w:val="single"/>
              </w:rPr>
            </w:pPr>
            <w:r>
              <w:rPr>
                <w:u w:val="single"/>
              </w:rPr>
              <w:t>ASSIGNEE[S]13</w:t>
            </w:r>
          </w:p>
        </w:tc>
      </w:tr>
      <w:tr>
        <w:trPr/>
        <w:tc>
          <w:tcPr>
            <w:tcW w:w="4082" w:type="dxa"/>
            <w:gridSpan w:val="3"/>
            <w:tcBorders/>
          </w:tcPr>
          <w:p>
            <w:pPr>
              <w:pStyle w:val="TableContents"/>
              <w:bidi w:val="0"/>
              <w:spacing w:before="0" w:after="283"/>
              <w:jc w:val="left"/>
              <w:rPr/>
            </w:pPr>
            <w:r>
              <w:rPr/>
              <w:t>[NAME OF ASSIGNEE]</w:t>
            </w:r>
          </w:p>
        </w:tc>
      </w:tr>
      <w:tr>
        <w:trPr>
          <w:trHeight w:val="240" w:hRule="atLeast"/>
        </w:trPr>
        <w:tc>
          <w:tcPr>
            <w:tcW w:w="1007" w:type="dxa"/>
            <w:tcBorders/>
            <w:vAlign w:val="center"/>
          </w:tcPr>
          <w:p>
            <w:pPr>
              <w:pStyle w:val="TableContents"/>
              <w:bidi w:val="0"/>
              <w:spacing w:before="0" w:after="283"/>
              <w:jc w:val="left"/>
              <w:rPr>
                <w:sz w:val="4"/>
                <w:szCs w:val="4"/>
              </w:rPr>
            </w:pPr>
            <w:r>
              <w:rPr>
                <w:sz w:val="4"/>
                <w:szCs w:val="4"/>
              </w:rPr>
            </w:r>
          </w:p>
        </w:tc>
        <w:tc>
          <w:tcPr>
            <w:tcW w:w="3075" w:type="dxa"/>
            <w:gridSpan w:val="2"/>
            <w:tcBorders/>
            <w:vAlign w:val="center"/>
          </w:tcPr>
          <w:p>
            <w:pPr>
              <w:pStyle w:val="TableContents"/>
              <w:bidi w:val="0"/>
              <w:spacing w:before="0" w:after="283"/>
              <w:jc w:val="left"/>
              <w:rPr>
                <w:sz w:val="4"/>
                <w:szCs w:val="4"/>
              </w:rPr>
            </w:pPr>
            <w:r>
              <w:rPr>
                <w:sz w:val="4"/>
                <w:szCs w:val="4"/>
              </w:rPr>
            </w:r>
          </w:p>
        </w:tc>
      </w:tr>
      <w:tr>
        <w:trPr/>
        <w:tc>
          <w:tcPr>
            <w:tcW w:w="1007" w:type="dxa"/>
            <w:tcBorders/>
          </w:tcPr>
          <w:p>
            <w:pPr>
              <w:pStyle w:val="TableContents"/>
              <w:bidi w:val="0"/>
              <w:spacing w:before="0" w:after="283"/>
              <w:jc w:val="left"/>
              <w:rPr/>
            </w:pPr>
            <w:r>
              <w:rPr/>
              <w:t>By:</w:t>
            </w:r>
          </w:p>
        </w:tc>
        <w:tc>
          <w:tcPr>
            <w:tcW w:w="187" w:type="dxa"/>
            <w:tcBorders/>
            <w:vAlign w:val="bottom"/>
          </w:tcPr>
          <w:p>
            <w:pPr>
              <w:pStyle w:val="TableContents"/>
              <w:bidi w:val="0"/>
              <w:spacing w:before="0" w:after="283"/>
              <w:jc w:val="left"/>
              <w:rPr/>
            </w:pPr>
            <w:r>
              <w:rPr/>
              <w:t> </w:t>
            </w:r>
          </w:p>
        </w:tc>
        <w:tc>
          <w:tcPr>
            <w:tcW w:w="2888"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  </w:t>
            </w: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OF ASSIGNEE]</w:t>
            </w:r>
          </w:p>
        </w:tc>
      </w:tr>
      <w:tr>
        <w:trPr>
          <w:trHeight w:val="240" w:hRule="atLeast"/>
        </w:trPr>
        <w:tc>
          <w:tcPr>
            <w:tcW w:w="1007" w:type="dxa"/>
            <w:tcBorders/>
            <w:vAlign w:val="center"/>
          </w:tcPr>
          <w:p>
            <w:pPr>
              <w:pStyle w:val="TableContents"/>
              <w:bidi w:val="0"/>
              <w:spacing w:before="0" w:after="283"/>
              <w:jc w:val="left"/>
              <w:rPr>
                <w:sz w:val="4"/>
                <w:szCs w:val="4"/>
              </w:rPr>
            </w:pPr>
            <w:r>
              <w:rPr>
                <w:sz w:val="4"/>
                <w:szCs w:val="4"/>
              </w:rPr>
            </w:r>
          </w:p>
        </w:tc>
        <w:tc>
          <w:tcPr>
            <w:tcW w:w="3075" w:type="dxa"/>
            <w:gridSpan w:val="2"/>
            <w:tcBorders/>
            <w:vAlign w:val="center"/>
          </w:tcPr>
          <w:p>
            <w:pPr>
              <w:pStyle w:val="TableContents"/>
              <w:bidi w:val="0"/>
              <w:spacing w:before="0" w:after="283"/>
              <w:jc w:val="left"/>
              <w:rPr>
                <w:sz w:val="4"/>
                <w:szCs w:val="4"/>
              </w:rPr>
            </w:pPr>
            <w:r>
              <w:rPr>
                <w:sz w:val="4"/>
                <w:szCs w:val="4"/>
              </w:rPr>
            </w:r>
          </w:p>
        </w:tc>
      </w:tr>
      <w:tr>
        <w:trPr/>
        <w:tc>
          <w:tcPr>
            <w:tcW w:w="1007" w:type="dxa"/>
            <w:tcBorders/>
          </w:tcPr>
          <w:p>
            <w:pPr>
              <w:pStyle w:val="TableContents"/>
              <w:bidi w:val="0"/>
              <w:spacing w:before="0" w:after="283"/>
              <w:jc w:val="left"/>
              <w:rPr/>
            </w:pPr>
            <w:r>
              <w:rPr/>
              <w:t>By:</w:t>
            </w:r>
          </w:p>
        </w:tc>
        <w:tc>
          <w:tcPr>
            <w:tcW w:w="187" w:type="dxa"/>
            <w:tcBorders/>
            <w:vAlign w:val="bottom"/>
          </w:tcPr>
          <w:p>
            <w:pPr>
              <w:pStyle w:val="TableContents"/>
              <w:bidi w:val="0"/>
              <w:spacing w:before="0" w:after="283"/>
              <w:jc w:val="left"/>
              <w:rPr/>
            </w:pPr>
            <w:r>
              <w:rPr/>
              <w:t> </w:t>
            </w:r>
          </w:p>
        </w:tc>
        <w:tc>
          <w:tcPr>
            <w:tcW w:w="2888"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  </w:t>
            </w:r>
            <w:r>
              <w:rPr/>
              <w:t>Title:</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796"/>
        <w:gridCol w:w="163"/>
        <w:gridCol w:w="2123"/>
      </w:tblGrid>
      <w:tr>
        <w:trPr/>
        <w:tc>
          <w:tcPr>
            <w:tcW w:w="1796"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[Consented to and]14 Accepted: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OF ADMINISTRATIVE AGENT], as</w:t>
            </w:r>
          </w:p>
        </w:tc>
      </w:tr>
      <w:tr>
        <w:trPr/>
        <w:tc>
          <w:tcPr>
            <w:tcW w:w="4082" w:type="dxa"/>
            <w:gridSpan w:val="3"/>
            <w:tcBorders/>
          </w:tcPr>
          <w:p>
            <w:pPr>
              <w:pStyle w:val="TableContents"/>
              <w:bidi w:val="0"/>
              <w:spacing w:before="0" w:after="283"/>
              <w:jc w:val="left"/>
              <w:rPr/>
            </w:pPr>
            <w:r>
              <w:rPr/>
              <w:t>Administrative Agent</w:t>
            </w:r>
          </w:p>
        </w:tc>
      </w:tr>
      <w:tr>
        <w:trPr>
          <w:trHeight w:val="240" w:hRule="atLeast"/>
        </w:trPr>
        <w:tc>
          <w:tcPr>
            <w:tcW w:w="1796" w:type="dxa"/>
            <w:tcBorders/>
            <w:vAlign w:val="center"/>
          </w:tcPr>
          <w:p>
            <w:pPr>
              <w:pStyle w:val="TableContents"/>
              <w:bidi w:val="0"/>
              <w:spacing w:before="0" w:after="283"/>
              <w:jc w:val="left"/>
              <w:rPr>
                <w:sz w:val="4"/>
                <w:szCs w:val="4"/>
              </w:rPr>
            </w:pPr>
            <w:r>
              <w:rPr>
                <w:sz w:val="4"/>
                <w:szCs w:val="4"/>
              </w:rPr>
            </w:r>
          </w:p>
        </w:tc>
        <w:tc>
          <w:tcPr>
            <w:tcW w:w="2286" w:type="dxa"/>
            <w:gridSpan w:val="2"/>
            <w:tcBorders/>
            <w:vAlign w:val="center"/>
          </w:tcPr>
          <w:p>
            <w:pPr>
              <w:pStyle w:val="TableContents"/>
              <w:bidi w:val="0"/>
              <w:spacing w:before="0" w:after="283"/>
              <w:jc w:val="left"/>
              <w:rPr>
                <w:sz w:val="4"/>
                <w:szCs w:val="4"/>
              </w:rPr>
            </w:pPr>
            <w:r>
              <w:rPr>
                <w:sz w:val="4"/>
                <w:szCs w:val="4"/>
              </w:rPr>
            </w:r>
          </w:p>
        </w:tc>
      </w:tr>
      <w:tr>
        <w:trPr/>
        <w:tc>
          <w:tcPr>
            <w:tcW w:w="1796" w:type="dxa"/>
            <w:tcBorders/>
          </w:tcPr>
          <w:p>
            <w:pPr>
              <w:pStyle w:val="TableContents"/>
              <w:bidi w:val="0"/>
              <w:spacing w:before="0" w:after="283"/>
              <w:jc w:val="left"/>
              <w:rPr/>
            </w:pPr>
            <w:r>
              <w:rPr/>
              <w:t>By:</w:t>
            </w:r>
          </w:p>
        </w:tc>
        <w:tc>
          <w:tcPr>
            <w:tcW w:w="163" w:type="dxa"/>
            <w:tcBorders/>
            <w:vAlign w:val="bottom"/>
          </w:tcPr>
          <w:p>
            <w:pPr>
              <w:pStyle w:val="TableContents"/>
              <w:bidi w:val="0"/>
              <w:spacing w:before="0" w:after="283"/>
              <w:jc w:val="left"/>
              <w:rPr/>
            </w:pPr>
            <w:r>
              <w:rPr/>
              <w:t> </w:t>
            </w:r>
          </w:p>
        </w:tc>
        <w:tc>
          <w:tcPr>
            <w:tcW w:w="2123"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  </w:t>
            </w:r>
            <w:r>
              <w:rPr/>
              <w:t>Title:</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12 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additional signature blocks as needed. Include both Fund/Pension Plan and manager making the trade (if applicable).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13 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additional signature blocks as needed. Include both Fund/Pension Plan and manager making the trade (if applicable).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added only if the consent of the Administrative Agent is required by the terms of the Receivables Financing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C-4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1039"/>
        <w:gridCol w:w="156"/>
        <w:gridCol w:w="2887"/>
      </w:tblGrid>
      <w:tr>
        <w:trPr/>
        <w:tc>
          <w:tcPr>
            <w:tcW w:w="1039"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[Consented to:]15</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OF RELEVANT PARTY]</w:t>
            </w:r>
          </w:p>
        </w:tc>
      </w:tr>
      <w:tr>
        <w:trPr>
          <w:trHeight w:val="240" w:hRule="atLeast"/>
        </w:trPr>
        <w:tc>
          <w:tcPr>
            <w:tcW w:w="1039" w:type="dxa"/>
            <w:tcBorders/>
            <w:vAlign w:val="center"/>
          </w:tcPr>
          <w:p>
            <w:pPr>
              <w:pStyle w:val="TableContents"/>
              <w:bidi w:val="0"/>
              <w:spacing w:before="0" w:after="283"/>
              <w:jc w:val="left"/>
              <w:rPr>
                <w:sz w:val="4"/>
                <w:szCs w:val="4"/>
              </w:rPr>
            </w:pPr>
            <w:r>
              <w:rPr>
                <w:sz w:val="4"/>
                <w:szCs w:val="4"/>
              </w:rPr>
            </w:r>
          </w:p>
        </w:tc>
        <w:tc>
          <w:tcPr>
            <w:tcW w:w="3043" w:type="dxa"/>
            <w:gridSpan w:val="2"/>
            <w:tcBorders/>
            <w:vAlign w:val="center"/>
          </w:tcPr>
          <w:p>
            <w:pPr>
              <w:pStyle w:val="TableContents"/>
              <w:bidi w:val="0"/>
              <w:spacing w:before="0" w:after="283"/>
              <w:jc w:val="left"/>
              <w:rPr>
                <w:sz w:val="4"/>
                <w:szCs w:val="4"/>
              </w:rPr>
            </w:pPr>
            <w:r>
              <w:rPr>
                <w:sz w:val="4"/>
                <w:szCs w:val="4"/>
              </w:rPr>
            </w:r>
          </w:p>
        </w:tc>
      </w:tr>
      <w:tr>
        <w:trPr/>
        <w:tc>
          <w:tcPr>
            <w:tcW w:w="1039" w:type="dxa"/>
            <w:tcBorders/>
          </w:tcPr>
          <w:p>
            <w:pPr>
              <w:pStyle w:val="TableContents"/>
              <w:bidi w:val="0"/>
              <w:spacing w:before="0" w:after="283"/>
              <w:jc w:val="left"/>
              <w:rPr/>
            </w:pPr>
            <w:r>
              <w:rPr/>
              <w:t>By:</w:t>
            </w:r>
          </w:p>
        </w:tc>
        <w:tc>
          <w:tcPr>
            <w:tcW w:w="156" w:type="dxa"/>
            <w:tcBorders/>
            <w:vAlign w:val="bottom"/>
          </w:tcPr>
          <w:p>
            <w:pPr>
              <w:pStyle w:val="TableContents"/>
              <w:bidi w:val="0"/>
              <w:spacing w:before="0" w:after="283"/>
              <w:jc w:val="left"/>
              <w:rPr/>
            </w:pPr>
            <w:r>
              <w:rPr/>
              <w:t> </w:t>
            </w:r>
          </w:p>
        </w:tc>
        <w:tc>
          <w:tcPr>
            <w:tcW w:w="2887"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  </w:t>
            </w:r>
            <w:r>
              <w:rPr/>
              <w:t>Title:</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added only if the consent of the Borrower and/or other parties is required by the terms of the Receivables Financing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C-5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ANNEX 1 </w:t>
      </w:r>
    </w:p>
    <w:p>
      <w:pPr>
        <w:pStyle w:val="TextBody"/>
        <w:bidi w:val="0"/>
        <w:spacing w:before="240" w:after="0"/>
        <w:jc w:val="center"/>
        <w:rPr>
          <w:rFonts w:ascii="Times New Roman" w:hAnsi="Times New Roman"/>
          <w:sz w:val="20"/>
        </w:rPr>
      </w:pPr>
      <w:r>
        <w:rPr>
          <w:rFonts w:ascii="Times New Roman" w:hAnsi="Times New Roman"/>
          <w:sz w:val="20"/>
        </w:rPr>
        <w:t xml:space="preserve">STANDARD TERMS AND CONDITIONS FOR </w:t>
      </w:r>
    </w:p>
    <w:p>
      <w:pPr>
        <w:pStyle w:val="TextBody"/>
        <w:bidi w:val="0"/>
        <w:spacing w:before="0" w:after="0"/>
        <w:jc w:val="center"/>
        <w:rPr>
          <w:rFonts w:ascii="Times New Roman" w:hAnsi="Times New Roman"/>
          <w:sz w:val="20"/>
        </w:rPr>
      </w:pPr>
      <w:r>
        <w:rPr>
          <w:rFonts w:ascii="Times New Roman" w:hAnsi="Times New Roman"/>
          <w:sz w:val="20"/>
        </w:rPr>
        <w:t xml:space="preserve">ASSIGNMENT AND ASSUMPTION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Representations and Warranties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Assignor[s]</w:t>
      </w:r>
      <w:r>
        <w:rPr>
          <w:rFonts w:ascii="Times New Roman" w:hAnsi="Times New Roman"/>
          <w:sz w:val="20"/>
        </w:rPr>
        <w:t xml:space="preserve">. [The][Each] Assignor (a) represents and warrants that (i) it is the legal and beneficial owner of [the][the relevant] Assigned Interest, (ii) [the][such] Assigned Interest is free and clear of any lien, encumbrance or other adverse claim, (iii) it has full power and authority, and has taken all action necessary, to execute and deliver this Assignment and Assumption and to consummate the transactions contemplated hereby and (iv) it is not a Defaulting Lender; and (b) assumes no responsibility with respect to (i) any statements, warranties or representations made in or in connection with the Receivables Financing Agreement or any other Transaction Document, (ii) the execution, legality, validity, enforceability, genuineness, sufficiency or value of the Transaction Documents or any collateral thereunder, (iii) the financial condition of the Borrower, any of its Subsidiaries or Affiliates or any other Person obligated in respect of any Transaction Document, or (iv) the performance or observance by the Borrower, any of its Subsidiaries or Affiliates or any other Person of any of their respective obligations under any Transaction Document.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Assignee[s]</w:t>
      </w:r>
      <w:r>
        <w:rPr>
          <w:rFonts w:ascii="Times New Roman" w:hAnsi="Times New Roman"/>
          <w:sz w:val="20"/>
        </w:rPr>
        <w:t xml:space="preserve">. [The][Each] Assignee (a) represents and warrants that (i) it has full power and authority, and has taken all action necessary, to execute and deliver this Assignment and Assumption and to consummate the transactions contemplated hereby and to become a Lender under the Receivables Financing Agreement, (ii) it meets all the requirements to be an assignee under </w:t>
      </w:r>
      <w:r>
        <w:rPr>
          <w:rFonts w:ascii="Times New Roman" w:hAnsi="Times New Roman"/>
          <w:sz w:val="20"/>
          <w:u w:val="single"/>
        </w:rPr>
        <w:t>Section 12.06</w:t>
      </w:r>
      <w:r>
        <w:rPr>
          <w:rFonts w:ascii="Times New Roman" w:hAnsi="Times New Roman"/>
          <w:sz w:val="20"/>
        </w:rPr>
        <w:t xml:space="preserve"> of the Receivables Financing Agreement (subject to such consents, if any, as may be required thereunder), (iii) from and after the Effective Date, it shall be bound by the provisions of the Receivables Financing Agreement as a Lender thereunder and, to the extent of [the][the relevant]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Receivables Financing Agreement, and has received or has been accorded the opportunity to receive copies of the most recent financial statements delivered pursuant to </w:t>
      </w:r>
      <w:r>
        <w:rPr>
          <w:rFonts w:ascii="Times New Roman" w:hAnsi="Times New Roman"/>
          <w:sz w:val="20"/>
          <w:u w:val="single"/>
        </w:rPr>
        <w:t>Sections [7.01(c)</w:t>
      </w:r>
      <w:r>
        <w:rPr>
          <w:rFonts w:ascii="Times New Roman" w:hAnsi="Times New Roman"/>
          <w:sz w:val="20"/>
        </w:rPr>
        <w:t xml:space="preserve"> and </w:t>
      </w:r>
      <w:r>
        <w:rPr>
          <w:rFonts w:ascii="Times New Roman" w:hAnsi="Times New Roman"/>
          <w:sz w:val="20"/>
          <w:u w:val="single"/>
        </w:rPr>
        <w:t>7.02(b)</w:t>
      </w:r>
      <w:r>
        <w:rPr>
          <w:rFonts w:ascii="Times New Roman" w:hAnsi="Times New Roman"/>
          <w:sz w:val="20"/>
        </w:rPr>
        <w:t xml:space="preserve">] [Financial Reporting Reps] thereof, as applicable, and such other documents and information as it deems appropriate to make its own credit analysis and decision to enter into this Assignment and Assumption and to purchase [the][such]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[the][such] Assigned Interest, and (vii) if it is a Foreign Lender16 attached to the Assignment and Assumption is any documentation required to be delivered by it pursuant to the terms of the Receivables Financing Agreement, duly completed and executed by [the][such] Assignee; and (b) agrees that (i) it will,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concept of “Foreign Lender” should be conformed to the section in the Credit Agreement governing withholding taxes and gross-up. If the Borrower is a U.S. Borrower, the bracketed language should be deleted.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C-6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independently and without reliance on the Administrative Agent, [the][any] Assignor or any other Lender, and based on such documents and information as it shall deem appropriate at the time, continue to make its own credit decisions in taking or not taking action under the Transaction Documents, and (ii) it will perform in accordance with their terms all of the obligations which by the terms of the Transaction Documents are required to be performed by it as a Lender.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Payments</w:t>
      </w:r>
      <w:r>
        <w:rPr>
          <w:rFonts w:ascii="Times New Roman" w:hAnsi="Times New Roman"/>
          <w:sz w:val="20"/>
        </w:rPr>
        <w:t xml:space="preserve">. From and after the Effective Date, the Administrative Agent shall make all payments in respect of [the][each] Assigned Interest (including payments of principal, interest, fees and other amounts) to [the][the relevant] Assignor for amounts which have accrued to but excluding the Effective Date and to [the][the relevant] Assignee for amounts which have accrued from and after the Effective Date.17 Notwithstanding the foregoing, the Administrative Agent shall make all payments of interest, fees or other amounts paid or payable in kind from and after the Effective Date to [the][the relevant] Assignee.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General Provisions</w:t>
      </w:r>
      <w:r>
        <w:rPr>
          <w:rFonts w:ascii="Times New Roman" w:hAnsi="Times New Roman"/>
          <w:sz w:val="20"/>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 [</w:t>
      </w:r>
      <w:r>
        <w:rPr>
          <w:rFonts w:ascii="Times New Roman" w:hAnsi="Times New Roman"/>
          <w:i/>
          <w:sz w:val="20"/>
        </w:rPr>
        <w:t>confirm that choice of law provision parallels the Receivables Financing Agreement</w:t>
      </w:r>
      <w:r>
        <w:rPr>
          <w:rFonts w:ascii="Times New Roman" w:hAnsi="Times New Roman"/>
          <w:sz w:val="20"/>
        </w:rPr>
        <w:t xml:space="preserv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17 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Administrative Agent should consider whether this method conforms to its systems. In some circumstances, the following alternative language may be appropriate: </w:t>
            </w:r>
          </w:p>
        </w:tc>
      </w:tr>
    </w:tbl>
    <w:p>
      <w:pPr>
        <w:pStyle w:val="TextBody"/>
        <w:bidi w:val="0"/>
        <w:spacing w:before="0" w:after="0"/>
        <w:jc w:val="left"/>
        <w:rPr/>
      </w:pPr>
      <w:r>
        <w:rPr/>
        <w:t>“</w:t>
      </w:r>
      <w:r>
        <w:rPr>
          <w:rFonts w:ascii="Times New Roman" w:hAnsi="Times New Roman"/>
          <w:sz w:val="20"/>
        </w:rPr>
        <w:t xml:space="preserve">From and after the Effective Date, the Administrative Agent shall make all payments in respect of [the][each] Assigned Interest (including payments of principal, interest, fees and other amounts) to [the][the relevant] Assignee whether such amounts have accrued prior to, on or after the Effective Date. The Assignor[s] and the Assignee[s] shall make all appropriate adjustments in payments by the Administrative Agent for periods prior to the Effective Date or with respect to the making of this assignment directly between themselves.”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C-7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D </w:t>
      </w:r>
    </w:p>
    <w:p>
      <w:pPr>
        <w:pStyle w:val="TextBody"/>
        <w:bidi w:val="0"/>
        <w:spacing w:before="0" w:after="0"/>
        <w:jc w:val="center"/>
        <w:rPr>
          <w:rFonts w:ascii="Times New Roman" w:hAnsi="Times New Roman"/>
          <w:b/>
          <w:sz w:val="20"/>
        </w:rPr>
      </w:pPr>
      <w:r>
        <w:rPr>
          <w:rFonts w:ascii="Times New Roman" w:hAnsi="Times New Roman"/>
          <w:b/>
          <w:sz w:val="20"/>
        </w:rPr>
        <w:t xml:space="preserve">Credit and Collection Policy </w:t>
      </w:r>
    </w:p>
    <w:p>
      <w:pPr>
        <w:pStyle w:val="TextBody"/>
        <w:bidi w:val="0"/>
        <w:spacing w:before="240" w:after="0"/>
        <w:jc w:val="center"/>
        <w:rPr>
          <w:rFonts w:ascii="Times New Roman" w:hAnsi="Times New Roman"/>
          <w:sz w:val="20"/>
        </w:rPr>
      </w:pPr>
      <w:r>
        <w:rPr>
          <w:rFonts w:ascii="Times New Roman" w:hAnsi="Times New Roman"/>
          <w:sz w:val="20"/>
        </w:rPr>
        <w:t xml:space="preserve">(Attached)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E-1 </w:t>
      </w:r>
    </w:p>
    <w:p>
      <w:pPr>
        <w:pStyle w:val="TextBody"/>
        <w:bidi w:val="0"/>
        <w:spacing w:before="0" w:after="0"/>
        <w:jc w:val="center"/>
        <w:rPr>
          <w:rFonts w:ascii="Times New Roman" w:hAnsi="Times New Roman"/>
          <w:b/>
          <w:sz w:val="20"/>
        </w:rPr>
      </w:pPr>
      <w:r>
        <w:rPr>
          <w:rFonts w:ascii="Times New Roman" w:hAnsi="Times New Roman"/>
          <w:b/>
          <w:sz w:val="20"/>
        </w:rPr>
        <w:t xml:space="preserve">Form of Monthly Report </w:t>
      </w:r>
    </w:p>
    <w:p>
      <w:pPr>
        <w:pStyle w:val="TextBody"/>
        <w:bidi w:val="0"/>
        <w:spacing w:before="240" w:after="0"/>
        <w:jc w:val="center"/>
        <w:rPr>
          <w:rFonts w:ascii="Times New Roman" w:hAnsi="Times New Roman"/>
          <w:sz w:val="20"/>
        </w:rPr>
      </w:pPr>
      <w:r>
        <w:rPr>
          <w:rFonts w:ascii="Times New Roman" w:hAnsi="Times New Roman"/>
          <w:sz w:val="20"/>
        </w:rPr>
        <w:t xml:space="preserve">(Attached)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E-2 </w:t>
      </w:r>
    </w:p>
    <w:p>
      <w:pPr>
        <w:pStyle w:val="TextBody"/>
        <w:bidi w:val="0"/>
        <w:spacing w:before="0" w:after="0"/>
        <w:jc w:val="center"/>
        <w:rPr>
          <w:rFonts w:ascii="Times New Roman" w:hAnsi="Times New Roman"/>
          <w:b/>
          <w:sz w:val="20"/>
        </w:rPr>
      </w:pPr>
      <w:r>
        <w:rPr>
          <w:rFonts w:ascii="Times New Roman" w:hAnsi="Times New Roman"/>
          <w:b/>
          <w:sz w:val="20"/>
        </w:rPr>
        <w:t xml:space="preserve">Form of Weekly Report </w:t>
      </w:r>
    </w:p>
    <w:p>
      <w:pPr>
        <w:pStyle w:val="TextBody"/>
        <w:bidi w:val="0"/>
        <w:spacing w:before="240" w:after="0"/>
        <w:jc w:val="center"/>
        <w:rPr>
          <w:rFonts w:ascii="Times New Roman" w:hAnsi="Times New Roman"/>
          <w:sz w:val="20"/>
        </w:rPr>
      </w:pPr>
      <w:r>
        <w:rPr>
          <w:rFonts w:ascii="Times New Roman" w:hAnsi="Times New Roman"/>
          <w:sz w:val="20"/>
        </w:rPr>
        <w:t xml:space="preserve">(Attached)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E-3 </w:t>
      </w:r>
    </w:p>
    <w:p>
      <w:pPr>
        <w:pStyle w:val="TextBody"/>
        <w:bidi w:val="0"/>
        <w:spacing w:before="0" w:after="0"/>
        <w:jc w:val="center"/>
        <w:rPr>
          <w:rFonts w:ascii="Times New Roman" w:hAnsi="Times New Roman"/>
          <w:b/>
          <w:sz w:val="20"/>
        </w:rPr>
      </w:pPr>
      <w:r>
        <w:rPr>
          <w:rFonts w:ascii="Times New Roman" w:hAnsi="Times New Roman"/>
          <w:b/>
          <w:sz w:val="20"/>
        </w:rPr>
        <w:t xml:space="preserve">Form of Daily Report </w:t>
      </w:r>
    </w:p>
    <w:p>
      <w:pPr>
        <w:pStyle w:val="TextBody"/>
        <w:bidi w:val="0"/>
        <w:spacing w:before="240" w:after="0"/>
        <w:jc w:val="center"/>
        <w:rPr>
          <w:rFonts w:ascii="Times New Roman" w:hAnsi="Times New Roman"/>
          <w:sz w:val="20"/>
        </w:rPr>
      </w:pPr>
      <w:r>
        <w:rPr>
          <w:rFonts w:ascii="Times New Roman" w:hAnsi="Times New Roman"/>
          <w:sz w:val="20"/>
        </w:rPr>
        <w:t xml:space="preserve">(Attached)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F </w:t>
      </w:r>
    </w:p>
    <w:p>
      <w:pPr>
        <w:pStyle w:val="TextBody"/>
        <w:bidi w:val="0"/>
        <w:spacing w:before="0" w:after="0"/>
        <w:jc w:val="center"/>
        <w:rPr>
          <w:rFonts w:ascii="Times New Roman" w:hAnsi="Times New Roman"/>
          <w:b/>
          <w:sz w:val="20"/>
        </w:rPr>
      </w:pPr>
      <w:r>
        <w:rPr>
          <w:rFonts w:ascii="Times New Roman" w:hAnsi="Times New Roman"/>
          <w:b/>
          <w:sz w:val="20"/>
        </w:rPr>
        <w:t xml:space="preserve">Form of Compliance Certificate </w:t>
      </w:r>
    </w:p>
    <w:p>
      <w:pPr>
        <w:pStyle w:val="TextBody"/>
        <w:bidi w:val="0"/>
        <w:spacing w:before="240" w:after="0"/>
        <w:jc w:val="left"/>
        <w:rPr>
          <w:rFonts w:ascii="Times New Roman" w:hAnsi="Times New Roman"/>
          <w:sz w:val="20"/>
        </w:rPr>
      </w:pPr>
      <w:r>
        <w:rPr>
          <w:rFonts w:ascii="Times New Roman" w:hAnsi="Times New Roman"/>
          <w:sz w:val="20"/>
        </w:rPr>
        <w:t xml:space="preserve">To: PNC Bank, National Association, as Administrative Agent </w:t>
      </w:r>
    </w:p>
    <w:p>
      <w:pPr>
        <w:pStyle w:val="TextBody"/>
        <w:bidi w:val="0"/>
        <w:spacing w:before="120" w:after="0"/>
        <w:jc w:val="left"/>
        <w:rPr>
          <w:rFonts w:ascii="Times New Roman" w:hAnsi="Times New Roman"/>
          <w:sz w:val="20"/>
        </w:rPr>
      </w:pPr>
      <w:r>
        <w:rPr>
          <w:rFonts w:ascii="Times New Roman" w:hAnsi="Times New Roman"/>
          <w:sz w:val="20"/>
        </w:rPr>
        <w:t>This Compliance Certificate is furnished pursuant to that certain Receivables Financing Agreement, dated as of February 14, 2023, among Sabre Securitization, LLC (the “</w:t>
      </w:r>
      <w:r>
        <w:rPr>
          <w:rFonts w:ascii="Times New Roman" w:hAnsi="Times New Roman"/>
          <w:sz w:val="20"/>
          <w:u w:val="single"/>
        </w:rPr>
        <w:t>Borrower</w:t>
      </w:r>
      <w:r>
        <w:rPr>
          <w:rFonts w:ascii="Times New Roman" w:hAnsi="Times New Roman"/>
          <w:sz w:val="20"/>
        </w:rPr>
        <w:t>”), Sabre Global Technologies Limited</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Sabre GLBL Inc., </w:t>
      </w:r>
      <w:r>
        <w:rPr>
          <w:rFonts w:ascii="Times New Roman" w:hAnsi="Times New Roman"/>
          <w:strike/>
          <w:color w:val="FF0000"/>
          <w:sz w:val="20"/>
        </w:rPr>
        <w:t>as Servicer (the “</w:t>
      </w:r>
      <w:r>
        <w:rPr>
          <w:rFonts w:ascii="Times New Roman" w:hAnsi="Times New Roman"/>
          <w:strike/>
          <w:color w:val="FF0000"/>
          <w:sz w:val="20"/>
          <w:u w:val="single"/>
        </w:rPr>
        <w:t>Servicer</w:t>
      </w:r>
      <w:r>
        <w:rPr>
          <w:rFonts w:ascii="Times New Roman" w:hAnsi="Times New Roman"/>
          <w:color w:val="0000FF"/>
          <w:sz w:val="20"/>
          <w:u w:val="single"/>
          <w:bdr w:val="double" w:sz="2" w:space="1" w:color="000000"/>
        </w:rPr>
        <w:t>and Sabre Asia Pacific Pte. Ltd., as Servicers (the “Servicers</w:t>
      </w:r>
      <w:r>
        <w:rPr>
          <w:rFonts w:ascii="Times New Roman" w:hAnsi="Times New Roman"/>
          <w:sz w:val="20"/>
        </w:rPr>
        <w:t>”), the Lenders and Lender Representatives party thereto, PNC Bank, National Association, as Administrative Agent (in such capacity, the “</w:t>
      </w:r>
      <w:r>
        <w:rPr>
          <w:rFonts w:ascii="Times New Roman" w:hAnsi="Times New Roman"/>
          <w:sz w:val="20"/>
          <w:u w:val="single"/>
        </w:rPr>
        <w:t>Administrative Agent</w:t>
      </w:r>
      <w:r>
        <w:rPr>
          <w:rFonts w:ascii="Times New Roman" w:hAnsi="Times New Roman"/>
          <w:sz w:val="20"/>
        </w:rPr>
        <w:t>”) and Class A Lender Representative, Centerbridge Credit CS, L.P., as the Class B Lender Representative, and PNC Capital Markets LLC, as Structuring Agent (as amended, restated, supplemented or otherwise modified from time to time, the “</w:t>
      </w:r>
      <w:r>
        <w:rPr>
          <w:rFonts w:ascii="Times New Roman" w:hAnsi="Times New Roman"/>
          <w:sz w:val="20"/>
          <w:u w:val="single"/>
        </w:rPr>
        <w:t>Agreement</w:t>
      </w:r>
      <w:r>
        <w:rPr>
          <w:rFonts w:ascii="Times New Roman" w:hAnsi="Times New Roman"/>
          <w:sz w:val="20"/>
        </w:rPr>
        <w:t xml:space="preserve">”). Capitalized terms used herein and not otherwise defined herein shall have the meanings assigned to them in the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CERTIFIES THAT: </w:t>
      </w:r>
    </w:p>
    <w:p>
      <w:pPr>
        <w:pStyle w:val="TextBody"/>
        <w:bidi w:val="0"/>
        <w:spacing w:before="120" w:after="0"/>
        <w:jc w:val="left"/>
        <w:rPr>
          <w:rFonts w:ascii="Times New Roman" w:hAnsi="Times New Roman"/>
          <w:sz w:val="20"/>
        </w:rPr>
      </w:pPr>
      <w:r>
        <w:rPr>
          <w:rFonts w:ascii="Times New Roman" w:hAnsi="Times New Roman"/>
          <w:sz w:val="20"/>
        </w:rPr>
        <w:t xml:space="preserve">1. I am the duly elected </w:t>
      </w:r>
      <w:r>
        <w:rPr>
          <w:rFonts w:ascii="Times New Roman" w:hAnsi="Times New Roman"/>
          <w:sz w:val="20"/>
          <w:u w:val="single"/>
        </w:rPr>
        <w:t>       </w:t>
      </w:r>
      <w:r>
        <w:rPr>
          <w:rFonts w:ascii="Times New Roman" w:hAnsi="Times New Roman"/>
          <w:sz w:val="20"/>
        </w:rPr>
        <w:t xml:space="preserve"> of [</w:t>
      </w:r>
      <w:r>
        <w:rPr>
          <w:rFonts w:ascii="Times New Roman" w:hAnsi="Times New Roman"/>
          <w:sz w:val="20"/>
          <w:u w:val="single"/>
        </w:rPr>
        <w:t>   </w:t>
      </w:r>
      <w:r>
        <w:rPr>
          <w:rFonts w:ascii="Times New Roman" w:hAnsi="Times New Roman"/>
          <w:sz w:val="20"/>
        </w:rPr>
        <w:t>], a [</w:t>
      </w:r>
      <w:r>
        <w:rPr>
          <w:rFonts w:ascii="Times New Roman" w:hAnsi="Times New Roman"/>
          <w:sz w:val="20"/>
          <w:u w:val="single"/>
        </w:rPr>
        <w:t>   </w:t>
      </w:r>
      <w:r>
        <w:rPr>
          <w:rFonts w:ascii="Times New Roman" w:hAnsi="Times New Roman"/>
          <w:sz w:val="20"/>
        </w:rPr>
        <w:t>] (the [”</w:t>
      </w:r>
      <w:r>
        <w:rPr>
          <w:rFonts w:ascii="Times New Roman" w:hAnsi="Times New Roman"/>
          <w:sz w:val="20"/>
          <w:u w:val="single"/>
        </w:rPr>
        <w:t>Parent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 I have reviewed the terms of the Agreement and each of the other Transaction Documents and I have made, or have caused to be made under my supervision, a detailed review of the transactions and condition of the Borrower-Related Parties during the accounting period covered by the attached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3. The examinations described in </w:t>
      </w:r>
      <w:r>
        <w:rPr>
          <w:rFonts w:ascii="Times New Roman" w:hAnsi="Times New Roman"/>
          <w:sz w:val="20"/>
          <w:u w:val="single"/>
        </w:rPr>
        <w:t>paragraph 2</w:t>
      </w:r>
      <w:r>
        <w:rPr>
          <w:rFonts w:ascii="Times New Roman" w:hAnsi="Times New Roman"/>
          <w:sz w:val="20"/>
        </w:rPr>
        <w:t xml:space="preserve"> above did not disclose, and I have no knowledge of, the existence of any condition or event which constitutes an Event of Default, Financial Covenant Event or a Potential Default, as each such term is defined under the Agreement, during or at the end of the accounting period covered by the attached financial statements or as of the date of this Certificate[, except as set forth in </w:t>
      </w:r>
      <w:r>
        <w:rPr>
          <w:rFonts w:ascii="Times New Roman" w:hAnsi="Times New Roman"/>
          <w:sz w:val="20"/>
          <w:u w:val="single"/>
        </w:rPr>
        <w:t>paragraph 5</w:t>
      </w:r>
      <w:r>
        <w:rPr>
          <w:rFonts w:ascii="Times New Roman" w:hAnsi="Times New Roman"/>
          <w:sz w:val="20"/>
        </w:rPr>
        <w:t xml:space="preserve"> below].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Schedule I</w:t>
      </w:r>
      <w:r>
        <w:rPr>
          <w:rFonts w:ascii="Times New Roman" w:hAnsi="Times New Roman"/>
          <w:sz w:val="20"/>
        </w:rPr>
        <w:t xml:space="preserve"> attached hereto sets forth financial statements of [the Parent] and its Subsidiaries for the period referenced on such </w:t>
      </w:r>
      <w:r>
        <w:rPr>
          <w:rFonts w:ascii="Times New Roman" w:hAnsi="Times New Roman"/>
          <w:sz w:val="20"/>
          <w:u w:val="single"/>
        </w:rPr>
        <w:t>Schedule 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[5. Described below are the exceptions, if any, to paragraph 3 above by listing, in detail, the nature of the condition or event, the period during which it has existed and the action which Borrower has taken, is taking, or proposes to take with respect to each such condition or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F-1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certifications are made and delivered this </w:t>
      </w:r>
      <w:r>
        <w:rPr>
          <w:rFonts w:ascii="Times New Roman" w:hAnsi="Times New Roman"/>
          <w:sz w:val="20"/>
          <w:u w:val="single"/>
        </w:rPr>
        <w:t>   </w:t>
      </w:r>
      <w:r>
        <w:rPr>
          <w:rFonts w:ascii="Times New Roman" w:hAnsi="Times New Roman"/>
          <w:sz w:val="20"/>
        </w:rPr>
        <w:t xml:space="preserve">day of </w:t>
      </w:r>
      <w:r>
        <w:rPr>
          <w:rFonts w:ascii="Times New Roman" w:hAnsi="Times New Roman"/>
          <w:sz w:val="20"/>
          <w:u w:val="single"/>
        </w:rPr>
        <w:t>        </w:t>
      </w:r>
      <w:r>
        <w:rPr>
          <w:rFonts w:ascii="Times New Roman" w:hAnsi="Times New Roman"/>
          <w:sz w:val="20"/>
        </w:rPr>
        <w:t>, 20</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[_________]</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 xml:space="preserve">By: </w:t>
            </w:r>
            <w:r>
              <w:rPr>
                <w:u w:val="single"/>
              </w:rPr>
              <w:t>              </w:t>
            </w:r>
          </w:p>
        </w:tc>
      </w:tr>
      <w:tr>
        <w:trPr/>
        <w:tc>
          <w:tcPr>
            <w:tcW w:w="10205" w:type="dxa"/>
            <w:tcBorders/>
          </w:tcPr>
          <w:p>
            <w:pPr>
              <w:pStyle w:val="TableContents"/>
              <w:bidi w:val="0"/>
              <w:spacing w:before="0" w:after="283"/>
              <w:jc w:val="left"/>
              <w:rPr/>
            </w:pPr>
            <w:r>
              <w:rPr/>
              <w:t xml:space="preserve">Name: </w:t>
            </w:r>
            <w:r>
              <w:rPr>
                <w:u w:val="single"/>
              </w:rPr>
              <w:t>             </w:t>
            </w:r>
          </w:p>
        </w:tc>
      </w:tr>
      <w:tr>
        <w:trPr/>
        <w:tc>
          <w:tcPr>
            <w:tcW w:w="10205" w:type="dxa"/>
            <w:tcBorders/>
          </w:tcPr>
          <w:p>
            <w:pPr>
              <w:pStyle w:val="TableContents"/>
              <w:bidi w:val="0"/>
              <w:spacing w:before="0" w:after="283"/>
              <w:jc w:val="left"/>
              <w:rPr/>
            </w:pPr>
            <w:r>
              <w:rPr/>
              <w:t xml:space="preserve">Title: </w:t>
            </w:r>
            <w:r>
              <w:rPr>
                <w:u w:val="single"/>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F-2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 TO COMPLIANCE CERTIFICATE </w:t>
      </w:r>
    </w:p>
    <w:p>
      <w:pPr>
        <w:pStyle w:val="TextBody"/>
        <w:bidi w:val="0"/>
        <w:spacing w:before="240" w:after="0"/>
        <w:jc w:val="left"/>
        <w:rPr>
          <w:rFonts w:ascii="Times New Roman" w:hAnsi="Times New Roman"/>
          <w:sz w:val="20"/>
        </w:rPr>
      </w:pPr>
      <w:r>
        <w:rPr>
          <w:rFonts w:ascii="Times New Roman" w:hAnsi="Times New Roman"/>
          <w:sz w:val="20"/>
        </w:rPr>
        <w:t xml:space="preserve">A. Schedule of Compliance as of </w:t>
      </w:r>
      <w:r>
        <w:rPr>
          <w:rFonts w:ascii="Times New Roman" w:hAnsi="Times New Roman"/>
          <w:sz w:val="20"/>
          <w:u w:val="single"/>
        </w:rPr>
        <w:t>        </w:t>
      </w:r>
      <w:r>
        <w:rPr>
          <w:rFonts w:ascii="Times New Roman" w:hAnsi="Times New Roman"/>
          <w:sz w:val="20"/>
        </w:rPr>
        <w:t>, 20</w:t>
      </w:r>
      <w:r>
        <w:rPr>
          <w:rFonts w:ascii="Times New Roman" w:hAnsi="Times New Roman"/>
          <w:sz w:val="20"/>
          <w:u w:val="single"/>
        </w:rPr>
        <w:t> </w:t>
      </w:r>
      <w:r>
        <w:rPr>
          <w:rFonts w:ascii="Times New Roman" w:hAnsi="Times New Roman"/>
          <w:sz w:val="20"/>
        </w:rPr>
        <w:t xml:space="preserve"> with </w:t>
      </w:r>
      <w:r>
        <w:rPr>
          <w:rFonts w:ascii="Times New Roman" w:hAnsi="Times New Roman"/>
          <w:sz w:val="20"/>
          <w:u w:val="single"/>
        </w:rPr>
        <w:t>Sections [7.01(c)</w:t>
      </w:r>
      <w:r>
        <w:rPr>
          <w:rFonts w:ascii="Times New Roman" w:hAnsi="Times New Roman"/>
          <w:sz w:val="20"/>
        </w:rPr>
        <w:t xml:space="preserve"> and </w:t>
      </w:r>
      <w:r>
        <w:rPr>
          <w:rFonts w:ascii="Times New Roman" w:hAnsi="Times New Roman"/>
          <w:sz w:val="20"/>
          <w:u w:val="single"/>
        </w:rPr>
        <w:t>7.01(b)]</w:t>
      </w:r>
      <w:r>
        <w:rPr>
          <w:rFonts w:ascii="Times New Roman" w:hAnsi="Times New Roman"/>
          <w:sz w:val="20"/>
        </w:rPr>
        <w:t xml:space="preserve"> of the Agreement. Unless otherwise defined herein, the terms used in this Compliance Certificate have the meanings ascribed thereto in the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schedule relates to the month ended: </w:t>
      </w:r>
      <w:r>
        <w:rPr>
          <w:rFonts w:ascii="Times New Roman" w:hAnsi="Times New Roman"/>
          <w:sz w:val="20"/>
          <w:u w:val="single"/>
        </w:rPr>
        <w:t>        </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The following financial statements of [the Parent] and its Subsidiaries for the period ending on </w:t>
      </w:r>
      <w:r>
        <w:rPr>
          <w:rFonts w:ascii="Times New Roman" w:hAnsi="Times New Roman"/>
          <w:sz w:val="20"/>
          <w:u w:val="single"/>
        </w:rPr>
        <w:t>        </w:t>
      </w:r>
      <w:r>
        <w:rPr>
          <w:rFonts w:ascii="Times New Roman" w:hAnsi="Times New Roman"/>
          <w:sz w:val="20"/>
        </w:rPr>
        <w:t xml:space="preserve">, 20__, are attached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F-3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G </w:t>
      </w:r>
    </w:p>
    <w:p>
      <w:pPr>
        <w:pStyle w:val="TextBody"/>
        <w:bidi w:val="0"/>
        <w:spacing w:before="0" w:after="0"/>
        <w:jc w:val="center"/>
        <w:rPr>
          <w:rFonts w:ascii="Times New Roman" w:hAnsi="Times New Roman"/>
          <w:b/>
          <w:sz w:val="20"/>
        </w:rPr>
      </w:pPr>
      <w:r>
        <w:rPr>
          <w:rFonts w:ascii="Times New Roman" w:hAnsi="Times New Roman"/>
          <w:b/>
          <w:sz w:val="20"/>
        </w:rPr>
        <w:t xml:space="preserve">Closing Memorandum </w:t>
      </w:r>
    </w:p>
    <w:p>
      <w:pPr>
        <w:pStyle w:val="TextBody"/>
        <w:bidi w:val="0"/>
        <w:spacing w:before="240" w:after="0"/>
        <w:jc w:val="center"/>
        <w:rPr>
          <w:rFonts w:ascii="Times New Roman" w:hAnsi="Times New Roman"/>
          <w:sz w:val="20"/>
        </w:rPr>
      </w:pPr>
      <w:r>
        <w:rPr>
          <w:rFonts w:ascii="Times New Roman" w:hAnsi="Times New Roman"/>
          <w:sz w:val="20"/>
        </w:rPr>
        <w:t xml:space="preserve">(Attached)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G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H-1 </w:t>
      </w:r>
    </w:p>
    <w:p>
      <w:pPr>
        <w:pStyle w:val="TextBody"/>
        <w:bidi w:val="0"/>
        <w:spacing w:before="240" w:after="0"/>
        <w:jc w:val="center"/>
        <w:rPr>
          <w:rFonts w:ascii="Times New Roman" w:hAnsi="Times New Roman"/>
          <w:sz w:val="20"/>
        </w:rPr>
      </w:pPr>
      <w:r>
        <w:rPr>
          <w:rFonts w:ascii="Times New Roman" w:hAnsi="Times New Roman"/>
          <w:sz w:val="20"/>
        </w:rPr>
        <w:t xml:space="preserve">U.S. Tax Compliance Certificate (For Foreign Lenders That Are Not Partnerships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Reference is hereby made to the Receivables Financing Agreement, dated as of February 14, 2023, among Sabre Securitization, LLC (the “</w:t>
      </w:r>
      <w:r>
        <w:rPr>
          <w:rFonts w:ascii="Times New Roman" w:hAnsi="Times New Roman"/>
          <w:sz w:val="20"/>
          <w:u w:val="single"/>
        </w:rPr>
        <w:t>Borrower</w:t>
      </w:r>
      <w:r>
        <w:rPr>
          <w:rFonts w:ascii="Times New Roman" w:hAnsi="Times New Roman"/>
          <w:sz w:val="20"/>
        </w:rPr>
        <w:t>”), Sabre Global Technologies Limited</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Sabre GLBL Inc., </w:t>
      </w:r>
      <w:r>
        <w:rPr>
          <w:rFonts w:ascii="Times New Roman" w:hAnsi="Times New Roman"/>
          <w:strike/>
          <w:color w:val="FF0000"/>
          <w:sz w:val="20"/>
        </w:rPr>
        <w:t>as Servicer (the “</w:t>
      </w:r>
      <w:r>
        <w:rPr>
          <w:rFonts w:ascii="Times New Roman" w:hAnsi="Times New Roman"/>
          <w:strike/>
          <w:color w:val="FF0000"/>
          <w:sz w:val="20"/>
          <w:u w:val="single"/>
        </w:rPr>
        <w:t>Servicer</w:t>
      </w:r>
      <w:r>
        <w:rPr>
          <w:rFonts w:ascii="Times New Roman" w:hAnsi="Times New Roman"/>
          <w:color w:val="0000FF"/>
          <w:sz w:val="20"/>
          <w:u w:val="single"/>
          <w:bdr w:val="double" w:sz="2" w:space="1" w:color="000000"/>
        </w:rPr>
        <w:t>and Sabre Asia Pacific Pte. Ltd., as Servicers (the “Servicers</w:t>
      </w:r>
      <w:r>
        <w:rPr>
          <w:rFonts w:ascii="Times New Roman" w:hAnsi="Times New Roman"/>
          <w:sz w:val="20"/>
        </w:rPr>
        <w:t>”), the Lenders and Lender Representatives party thereto, PNC Bank, National Association, as Administrative Agent (in such capacity, the “</w:t>
      </w:r>
      <w:r>
        <w:rPr>
          <w:rFonts w:ascii="Times New Roman" w:hAnsi="Times New Roman"/>
          <w:sz w:val="20"/>
          <w:u w:val="single"/>
        </w:rPr>
        <w:t>Administrative Agent</w:t>
      </w:r>
      <w:r>
        <w:rPr>
          <w:rFonts w:ascii="Times New Roman" w:hAnsi="Times New Roman"/>
          <w:sz w:val="20"/>
        </w:rPr>
        <w:t>”) and Class A Lender Representative, Centerbridge Credit CS, L.P., as the Class B Lender Representative, and PNC Capital Markets LLC, as Structuring Agent (as amended, restated supplemented or otherwise modified from time to time, the “</w:t>
      </w:r>
      <w:r>
        <w:rPr>
          <w:rFonts w:ascii="Times New Roman" w:hAnsi="Times New Roman"/>
          <w:sz w:val="20"/>
          <w:u w:val="single"/>
        </w:rPr>
        <w:t>Receivables Financing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Pursuant to the provisions of Section 4.03 [</w:t>
      </w:r>
      <w:r>
        <w:rPr>
          <w:rFonts w:ascii="Times New Roman" w:hAnsi="Times New Roman"/>
          <w:i/>
          <w:sz w:val="20"/>
        </w:rPr>
        <w:t>Taxes</w:t>
      </w:r>
      <w:r>
        <w:rPr>
          <w:rFonts w:ascii="Times New Roman" w:hAnsi="Times New Roman"/>
          <w:sz w:val="20"/>
        </w:rPr>
        <w:t xml:space="preserve">] of the Receivables Financing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has furnished the Administrative Agent and the Borrower with a certificate of its non-U.S. Person status on IRS Form W-8BEN-E (or W-8BEN if applicable).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defined herein, terms defined in the Receivables Financing Agreement and used herein shall have the meanings given to them in the Receivables Financing Agreement.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7"/>
        <w:gridCol w:w="61"/>
        <w:gridCol w:w="3624"/>
      </w:tblGrid>
      <w:tr>
        <w:trPr/>
        <w:tc>
          <w:tcPr>
            <w:tcW w:w="39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OF LENDER]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pPr>
            <w:r>
              <w:rPr/>
              <w:t> </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w:t>
      </w:r>
      <w:r>
        <w:rPr>
          <w:rFonts w:ascii="Times New Roman" w:hAnsi="Times New Roman"/>
          <w:sz w:val="20"/>
          <w:u w:val="single"/>
        </w:rPr>
        <w:t>   </w:t>
      </w: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 xml:space="preserve">, 20[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H-1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H-2 </w:t>
      </w:r>
    </w:p>
    <w:p>
      <w:pPr>
        <w:pStyle w:val="TextBody"/>
        <w:bidi w:val="0"/>
        <w:spacing w:before="240" w:after="0"/>
        <w:jc w:val="center"/>
        <w:rPr>
          <w:rFonts w:ascii="Times New Roman" w:hAnsi="Times New Roman"/>
          <w:sz w:val="20"/>
        </w:rPr>
      </w:pPr>
      <w:r>
        <w:rPr>
          <w:rFonts w:ascii="Times New Roman" w:hAnsi="Times New Roman"/>
          <w:sz w:val="20"/>
        </w:rPr>
        <w:t xml:space="preserve">U.S. Tax Compliance Certificate (For Foreign Participants That Are Not Partnerships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Reference is hereby made to the Receivables Financing Agreement, dated as of February 14, 2023, among Sabre Securitization, LLC (the “</w:t>
      </w:r>
      <w:r>
        <w:rPr>
          <w:rFonts w:ascii="Times New Roman" w:hAnsi="Times New Roman"/>
          <w:sz w:val="20"/>
          <w:u w:val="single"/>
        </w:rPr>
        <w:t>Borrower</w:t>
      </w:r>
      <w:r>
        <w:rPr>
          <w:rFonts w:ascii="Times New Roman" w:hAnsi="Times New Roman"/>
          <w:sz w:val="20"/>
        </w:rPr>
        <w:t>”), Sabre Global Technologies Limited</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Sabre GLBL Inc., </w:t>
      </w:r>
      <w:r>
        <w:rPr>
          <w:rFonts w:ascii="Times New Roman" w:hAnsi="Times New Roman"/>
          <w:strike/>
          <w:color w:val="FF0000"/>
          <w:sz w:val="20"/>
        </w:rPr>
        <w:t>as Servicer (the “</w:t>
      </w:r>
      <w:r>
        <w:rPr>
          <w:rFonts w:ascii="Times New Roman" w:hAnsi="Times New Roman"/>
          <w:strike/>
          <w:color w:val="FF0000"/>
          <w:sz w:val="20"/>
          <w:u w:val="single"/>
        </w:rPr>
        <w:t>Servicer</w:t>
      </w:r>
      <w:r>
        <w:rPr>
          <w:rFonts w:ascii="Times New Roman" w:hAnsi="Times New Roman"/>
          <w:color w:val="0000FF"/>
          <w:sz w:val="20"/>
          <w:u w:val="single"/>
          <w:bdr w:val="double" w:sz="2" w:space="1" w:color="000000"/>
        </w:rPr>
        <w:t>and Sabre Asia Pacific Pte. Ltd., as Servicers (the “Servicers</w:t>
      </w:r>
      <w:r>
        <w:rPr>
          <w:rFonts w:ascii="Times New Roman" w:hAnsi="Times New Roman"/>
          <w:sz w:val="20"/>
        </w:rPr>
        <w:t>”), the Lenders and Lender Representatives party thereto, PNC Bank, National Association, as Administrative Agent (in such capacity, the “</w:t>
      </w:r>
      <w:r>
        <w:rPr>
          <w:rFonts w:ascii="Times New Roman" w:hAnsi="Times New Roman"/>
          <w:sz w:val="20"/>
          <w:u w:val="single"/>
        </w:rPr>
        <w:t>Administrative Agent</w:t>
      </w:r>
      <w:r>
        <w:rPr>
          <w:rFonts w:ascii="Times New Roman" w:hAnsi="Times New Roman"/>
          <w:sz w:val="20"/>
        </w:rPr>
        <w:t>”) and Class A Lender Representative, Centerbridge Credit CS, L.P., as the Class B Lender Representative, and PNC Capital Markets LLC, as Structuring Agent (as amended, restated, supplemented or otherwise modified from time to time, the “</w:t>
      </w:r>
      <w:r>
        <w:rPr>
          <w:rFonts w:ascii="Times New Roman" w:hAnsi="Times New Roman"/>
          <w:sz w:val="20"/>
          <w:u w:val="single"/>
        </w:rPr>
        <w:t>Receivables Financing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Pursuant to the provisions of Section 4.03 [</w:t>
      </w:r>
      <w:r>
        <w:rPr>
          <w:rFonts w:ascii="Times New Roman" w:hAnsi="Times New Roman"/>
          <w:i/>
          <w:sz w:val="20"/>
        </w:rPr>
        <w:t>Taxes</w:t>
      </w:r>
      <w:r>
        <w:rPr>
          <w:rFonts w:ascii="Times New Roman" w:hAnsi="Times New Roman"/>
          <w:sz w:val="20"/>
        </w:rPr>
        <w:t xml:space="preserve">] of the Receivables Financing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has furnished its participating Lender with a certificate of its non-U.S. Person status on IRS Form W-8BEN-E (or W-8BEN if applicable).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defined herein, terms defined in the Receivables Financing Agreement and used herein shall have the meanings given to them in the Receivables Financing Agreement.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77"/>
        <w:gridCol w:w="102"/>
        <w:gridCol w:w="3403"/>
      </w:tblGrid>
      <w:tr>
        <w:trPr/>
        <w:tc>
          <w:tcPr>
            <w:tcW w:w="57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40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OF PARTICIPANT]</w:t>
            </w:r>
          </w:p>
        </w:tc>
      </w:tr>
      <w:tr>
        <w:trPr>
          <w:trHeight w:val="240" w:hRule="atLeast"/>
        </w:trPr>
        <w:tc>
          <w:tcPr>
            <w:tcW w:w="577" w:type="dxa"/>
            <w:tcBorders/>
            <w:vAlign w:val="center"/>
          </w:tcPr>
          <w:p>
            <w:pPr>
              <w:pStyle w:val="TableContents"/>
              <w:bidi w:val="0"/>
              <w:spacing w:before="0" w:after="283"/>
              <w:jc w:val="left"/>
              <w:rPr>
                <w:sz w:val="4"/>
                <w:szCs w:val="4"/>
              </w:rPr>
            </w:pPr>
            <w:r>
              <w:rPr>
                <w:sz w:val="4"/>
                <w:szCs w:val="4"/>
              </w:rPr>
            </w:r>
          </w:p>
        </w:tc>
        <w:tc>
          <w:tcPr>
            <w:tcW w:w="3505" w:type="dxa"/>
            <w:gridSpan w:val="2"/>
            <w:tcBorders/>
            <w:vAlign w:val="center"/>
          </w:tcPr>
          <w:p>
            <w:pPr>
              <w:pStyle w:val="TableContents"/>
              <w:bidi w:val="0"/>
              <w:spacing w:before="0" w:after="283"/>
              <w:jc w:val="left"/>
              <w:rPr>
                <w:sz w:val="4"/>
                <w:szCs w:val="4"/>
              </w:rPr>
            </w:pPr>
            <w:r>
              <w:rPr>
                <w:sz w:val="4"/>
                <w:szCs w:val="4"/>
              </w:rPr>
            </w:r>
          </w:p>
        </w:tc>
      </w:tr>
      <w:tr>
        <w:trPr/>
        <w:tc>
          <w:tcPr>
            <w:tcW w:w="577" w:type="dxa"/>
            <w:tcBorders/>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3403" w:type="dxa"/>
            <w:tcBorders/>
          </w:tcPr>
          <w:p>
            <w:pPr>
              <w:pStyle w:val="TableContents"/>
              <w:pBdr>
                <w:bottom w:val="single" w:sz="2" w:space="1" w:color="000000"/>
              </w:pBdr>
              <w:bidi w:val="0"/>
              <w:spacing w:before="0" w:after="20"/>
              <w:jc w:val="left"/>
              <w:rPr/>
            </w:pPr>
            <w:r>
              <w:rPr/>
              <w:t> </w:t>
            </w:r>
          </w:p>
        </w:tc>
      </w:tr>
      <w:tr>
        <w:trPr>
          <w:trHeight w:val="240" w:hRule="atLeast"/>
        </w:trPr>
        <w:tc>
          <w:tcPr>
            <w:tcW w:w="577" w:type="dxa"/>
            <w:tcBorders/>
            <w:vAlign w:val="center"/>
          </w:tcPr>
          <w:p>
            <w:pPr>
              <w:pStyle w:val="TableContents"/>
              <w:bidi w:val="0"/>
              <w:spacing w:before="0" w:after="283"/>
              <w:jc w:val="left"/>
              <w:rPr>
                <w:sz w:val="4"/>
                <w:szCs w:val="4"/>
              </w:rPr>
            </w:pPr>
            <w:r>
              <w:rPr>
                <w:sz w:val="4"/>
                <w:szCs w:val="4"/>
              </w:rPr>
            </w:r>
          </w:p>
        </w:tc>
        <w:tc>
          <w:tcPr>
            <w:tcW w:w="3505" w:type="dxa"/>
            <w:gridSpan w:val="2"/>
            <w:tcBorders/>
            <w:vAlign w:val="center"/>
          </w:tcPr>
          <w:p>
            <w:pPr>
              <w:pStyle w:val="TableContents"/>
              <w:bidi w:val="0"/>
              <w:spacing w:before="0" w:after="283"/>
              <w:jc w:val="left"/>
              <w:rPr>
                <w:sz w:val="4"/>
                <w:szCs w:val="4"/>
              </w:rPr>
            </w:pPr>
            <w:r>
              <w:rPr>
                <w:sz w:val="4"/>
                <w:szCs w:val="4"/>
              </w:rPr>
            </w:r>
          </w:p>
        </w:tc>
      </w:tr>
      <w:tr>
        <w:trPr/>
        <w:tc>
          <w:tcPr>
            <w:tcW w:w="57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3" w:type="dxa"/>
            <w:tcBorders/>
          </w:tcPr>
          <w:p>
            <w:pPr>
              <w:pStyle w:val="TableContents"/>
              <w:bidi w:val="0"/>
              <w:spacing w:before="0" w:after="283"/>
              <w:jc w:val="left"/>
              <w:rPr/>
            </w:pPr>
            <w:r>
              <w:rPr/>
              <w:t>Name:</w:t>
            </w:r>
          </w:p>
        </w:tc>
      </w:tr>
      <w:tr>
        <w:trPr>
          <w:trHeight w:val="240" w:hRule="atLeast"/>
        </w:trPr>
        <w:tc>
          <w:tcPr>
            <w:tcW w:w="577" w:type="dxa"/>
            <w:tcBorders/>
            <w:vAlign w:val="center"/>
          </w:tcPr>
          <w:p>
            <w:pPr>
              <w:pStyle w:val="TableContents"/>
              <w:bidi w:val="0"/>
              <w:spacing w:before="0" w:after="283"/>
              <w:jc w:val="left"/>
              <w:rPr>
                <w:sz w:val="4"/>
                <w:szCs w:val="4"/>
              </w:rPr>
            </w:pPr>
            <w:r>
              <w:rPr>
                <w:sz w:val="4"/>
                <w:szCs w:val="4"/>
              </w:rPr>
            </w:r>
          </w:p>
        </w:tc>
        <w:tc>
          <w:tcPr>
            <w:tcW w:w="3505" w:type="dxa"/>
            <w:gridSpan w:val="2"/>
            <w:tcBorders/>
            <w:vAlign w:val="center"/>
          </w:tcPr>
          <w:p>
            <w:pPr>
              <w:pStyle w:val="TableContents"/>
              <w:bidi w:val="0"/>
              <w:spacing w:before="0" w:after="283"/>
              <w:jc w:val="left"/>
              <w:rPr>
                <w:sz w:val="4"/>
                <w:szCs w:val="4"/>
              </w:rPr>
            </w:pPr>
            <w:r>
              <w:rPr>
                <w:sz w:val="4"/>
                <w:szCs w:val="4"/>
              </w:rPr>
            </w:r>
          </w:p>
        </w:tc>
      </w:tr>
      <w:tr>
        <w:trPr/>
        <w:tc>
          <w:tcPr>
            <w:tcW w:w="57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3"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w:t>
      </w:r>
      <w:r>
        <w:rPr>
          <w:rFonts w:ascii="Times New Roman" w:hAnsi="Times New Roman"/>
          <w:sz w:val="20"/>
          <w:u w:val="single"/>
        </w:rPr>
        <w:t>   </w:t>
      </w: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 xml:space="preserve">, 20[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H-2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H-3 </w:t>
      </w:r>
    </w:p>
    <w:p>
      <w:pPr>
        <w:pStyle w:val="TextBody"/>
        <w:bidi w:val="0"/>
        <w:spacing w:before="240" w:after="0"/>
        <w:jc w:val="center"/>
        <w:rPr>
          <w:rFonts w:ascii="Times New Roman" w:hAnsi="Times New Roman"/>
          <w:sz w:val="20"/>
        </w:rPr>
      </w:pPr>
      <w:r>
        <w:rPr>
          <w:rFonts w:ascii="Times New Roman" w:hAnsi="Times New Roman"/>
          <w:sz w:val="20"/>
        </w:rPr>
        <w:t xml:space="preserve">U.S. Tax Compliance Certificate (For Foreign Participants That Are Partnerships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Reference is hereby made to the Receivables Financing Agreement, dated as of February 14, 2023, among Sabre Securitization, LLC (the “</w:t>
      </w:r>
      <w:r>
        <w:rPr>
          <w:rFonts w:ascii="Times New Roman" w:hAnsi="Times New Roman"/>
          <w:sz w:val="20"/>
          <w:u w:val="single"/>
        </w:rPr>
        <w:t>Borrower</w:t>
      </w:r>
      <w:r>
        <w:rPr>
          <w:rFonts w:ascii="Times New Roman" w:hAnsi="Times New Roman"/>
          <w:sz w:val="20"/>
        </w:rPr>
        <w:t>”), Sabre Global Technologies Limited</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Sabre GLBL Inc., </w:t>
      </w:r>
      <w:r>
        <w:rPr>
          <w:rFonts w:ascii="Times New Roman" w:hAnsi="Times New Roman"/>
          <w:strike/>
          <w:color w:val="FF0000"/>
          <w:sz w:val="20"/>
        </w:rPr>
        <w:t>as Servicer (the “</w:t>
      </w:r>
      <w:r>
        <w:rPr>
          <w:rFonts w:ascii="Times New Roman" w:hAnsi="Times New Roman"/>
          <w:strike/>
          <w:color w:val="FF0000"/>
          <w:sz w:val="20"/>
          <w:u w:val="single"/>
        </w:rPr>
        <w:t>Servicer</w:t>
      </w:r>
      <w:r>
        <w:rPr>
          <w:rFonts w:ascii="Times New Roman" w:hAnsi="Times New Roman"/>
          <w:color w:val="0000FF"/>
          <w:sz w:val="20"/>
          <w:u w:val="single"/>
          <w:bdr w:val="double" w:sz="2" w:space="1" w:color="000000"/>
        </w:rPr>
        <w:t>and Sabre Asia Pacific Pte. Ltd., as Servicers (the “Servicers</w:t>
      </w:r>
      <w:r>
        <w:rPr>
          <w:rFonts w:ascii="Times New Roman" w:hAnsi="Times New Roman"/>
          <w:sz w:val="20"/>
        </w:rPr>
        <w:t>”), the Lenders and Lender Representatives party thereto, PNC Bank, National Association, as Administrative Agent (in such capacity, the “</w:t>
      </w:r>
      <w:r>
        <w:rPr>
          <w:rFonts w:ascii="Times New Roman" w:hAnsi="Times New Roman"/>
          <w:sz w:val="20"/>
          <w:u w:val="single"/>
        </w:rPr>
        <w:t>Administrative Agent</w:t>
      </w:r>
      <w:r>
        <w:rPr>
          <w:rFonts w:ascii="Times New Roman" w:hAnsi="Times New Roman"/>
          <w:sz w:val="20"/>
        </w:rPr>
        <w:t>”) and Class A Lender Representative, Centerbridge Credit CS, L.P., as the Class B Lender Representative, and PNC Capital Markets LLC, as Structuring Agent (as amended, restated, supplemented or otherwise modified from time to time, the “</w:t>
      </w:r>
      <w:r>
        <w:rPr>
          <w:rFonts w:ascii="Times New Roman" w:hAnsi="Times New Roman"/>
          <w:sz w:val="20"/>
          <w:u w:val="single"/>
        </w:rPr>
        <w:t>Receivables Financing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Pursuant to the provisions of Section 4.03 [</w:t>
      </w:r>
      <w:r>
        <w:rPr>
          <w:rFonts w:ascii="Times New Roman" w:hAnsi="Times New Roman"/>
          <w:i/>
          <w:sz w:val="20"/>
        </w:rPr>
        <w:t>Taxes</w:t>
      </w:r>
      <w:r>
        <w:rPr>
          <w:rFonts w:ascii="Times New Roman" w:hAnsi="Times New Roman"/>
          <w:sz w:val="20"/>
        </w:rPr>
        <w:t xml:space="preserve">] of the Receivables Financing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has furnished its participating Lender with IRS Form W-8IMY accompanied by one of the following forms from each of its partners/members that is claiming the portfolio interest exemption: (i) an IRS Form W-8BEN-E (or W-8BEN if applicable) or (ii) an IRS Form W-8IMY accompanied by an IRS Form W-8BEN-E (or W-8BEN if applicable)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defined herein, terms defined in the Receivables Financing Agreement and used herein shall have the meanings given to them in the Receivables Financing Agreement.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77"/>
        <w:gridCol w:w="102"/>
        <w:gridCol w:w="3403"/>
      </w:tblGrid>
      <w:tr>
        <w:trPr/>
        <w:tc>
          <w:tcPr>
            <w:tcW w:w="57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40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OF PARTICIPANT]</w:t>
            </w:r>
          </w:p>
        </w:tc>
      </w:tr>
      <w:tr>
        <w:trPr>
          <w:trHeight w:val="240" w:hRule="atLeast"/>
        </w:trPr>
        <w:tc>
          <w:tcPr>
            <w:tcW w:w="577" w:type="dxa"/>
            <w:tcBorders/>
            <w:vAlign w:val="center"/>
          </w:tcPr>
          <w:p>
            <w:pPr>
              <w:pStyle w:val="TableContents"/>
              <w:bidi w:val="0"/>
              <w:spacing w:before="0" w:after="283"/>
              <w:jc w:val="left"/>
              <w:rPr>
                <w:sz w:val="4"/>
                <w:szCs w:val="4"/>
              </w:rPr>
            </w:pPr>
            <w:r>
              <w:rPr>
                <w:sz w:val="4"/>
                <w:szCs w:val="4"/>
              </w:rPr>
            </w:r>
          </w:p>
        </w:tc>
        <w:tc>
          <w:tcPr>
            <w:tcW w:w="3505" w:type="dxa"/>
            <w:gridSpan w:val="2"/>
            <w:tcBorders/>
            <w:vAlign w:val="center"/>
          </w:tcPr>
          <w:p>
            <w:pPr>
              <w:pStyle w:val="TableContents"/>
              <w:bidi w:val="0"/>
              <w:spacing w:before="0" w:after="283"/>
              <w:jc w:val="left"/>
              <w:rPr>
                <w:sz w:val="4"/>
                <w:szCs w:val="4"/>
              </w:rPr>
            </w:pPr>
            <w:r>
              <w:rPr>
                <w:sz w:val="4"/>
                <w:szCs w:val="4"/>
              </w:rPr>
            </w:r>
          </w:p>
        </w:tc>
      </w:tr>
      <w:tr>
        <w:trPr/>
        <w:tc>
          <w:tcPr>
            <w:tcW w:w="577" w:type="dxa"/>
            <w:tcBorders/>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3403" w:type="dxa"/>
            <w:tcBorders/>
          </w:tcPr>
          <w:p>
            <w:pPr>
              <w:pStyle w:val="TableContents"/>
              <w:pBdr>
                <w:bottom w:val="single" w:sz="2" w:space="1" w:color="000000"/>
              </w:pBdr>
              <w:bidi w:val="0"/>
              <w:spacing w:before="0" w:after="20"/>
              <w:jc w:val="left"/>
              <w:rPr/>
            </w:pPr>
            <w:r>
              <w:rPr/>
              <w:t> </w:t>
            </w:r>
          </w:p>
        </w:tc>
      </w:tr>
      <w:tr>
        <w:trPr>
          <w:trHeight w:val="240" w:hRule="atLeast"/>
        </w:trPr>
        <w:tc>
          <w:tcPr>
            <w:tcW w:w="577" w:type="dxa"/>
            <w:tcBorders/>
            <w:vAlign w:val="center"/>
          </w:tcPr>
          <w:p>
            <w:pPr>
              <w:pStyle w:val="TableContents"/>
              <w:bidi w:val="0"/>
              <w:spacing w:before="0" w:after="283"/>
              <w:jc w:val="left"/>
              <w:rPr>
                <w:sz w:val="4"/>
                <w:szCs w:val="4"/>
              </w:rPr>
            </w:pPr>
            <w:r>
              <w:rPr>
                <w:sz w:val="4"/>
                <w:szCs w:val="4"/>
              </w:rPr>
            </w:r>
          </w:p>
        </w:tc>
        <w:tc>
          <w:tcPr>
            <w:tcW w:w="3505" w:type="dxa"/>
            <w:gridSpan w:val="2"/>
            <w:tcBorders/>
            <w:vAlign w:val="center"/>
          </w:tcPr>
          <w:p>
            <w:pPr>
              <w:pStyle w:val="TableContents"/>
              <w:bidi w:val="0"/>
              <w:spacing w:before="0" w:after="283"/>
              <w:jc w:val="left"/>
              <w:rPr>
                <w:sz w:val="4"/>
                <w:szCs w:val="4"/>
              </w:rPr>
            </w:pPr>
            <w:r>
              <w:rPr>
                <w:sz w:val="4"/>
                <w:szCs w:val="4"/>
              </w:rPr>
            </w:r>
          </w:p>
        </w:tc>
      </w:tr>
      <w:tr>
        <w:trPr/>
        <w:tc>
          <w:tcPr>
            <w:tcW w:w="57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3" w:type="dxa"/>
            <w:tcBorders/>
          </w:tcPr>
          <w:p>
            <w:pPr>
              <w:pStyle w:val="TableContents"/>
              <w:bidi w:val="0"/>
              <w:spacing w:before="0" w:after="283"/>
              <w:jc w:val="left"/>
              <w:rPr/>
            </w:pPr>
            <w:r>
              <w:rPr/>
              <w:t>Name:</w:t>
            </w:r>
          </w:p>
        </w:tc>
      </w:tr>
      <w:tr>
        <w:trPr>
          <w:trHeight w:val="240" w:hRule="atLeast"/>
        </w:trPr>
        <w:tc>
          <w:tcPr>
            <w:tcW w:w="577" w:type="dxa"/>
            <w:tcBorders/>
            <w:vAlign w:val="center"/>
          </w:tcPr>
          <w:p>
            <w:pPr>
              <w:pStyle w:val="TableContents"/>
              <w:bidi w:val="0"/>
              <w:spacing w:before="0" w:after="283"/>
              <w:jc w:val="left"/>
              <w:rPr>
                <w:sz w:val="4"/>
                <w:szCs w:val="4"/>
              </w:rPr>
            </w:pPr>
            <w:r>
              <w:rPr>
                <w:sz w:val="4"/>
                <w:szCs w:val="4"/>
              </w:rPr>
            </w:r>
          </w:p>
        </w:tc>
        <w:tc>
          <w:tcPr>
            <w:tcW w:w="3505" w:type="dxa"/>
            <w:gridSpan w:val="2"/>
            <w:tcBorders/>
            <w:vAlign w:val="center"/>
          </w:tcPr>
          <w:p>
            <w:pPr>
              <w:pStyle w:val="TableContents"/>
              <w:bidi w:val="0"/>
              <w:spacing w:before="0" w:after="283"/>
              <w:jc w:val="left"/>
              <w:rPr>
                <w:sz w:val="4"/>
                <w:szCs w:val="4"/>
              </w:rPr>
            </w:pPr>
            <w:r>
              <w:rPr>
                <w:sz w:val="4"/>
                <w:szCs w:val="4"/>
              </w:rPr>
            </w:r>
          </w:p>
        </w:tc>
      </w:tr>
      <w:tr>
        <w:trPr/>
        <w:tc>
          <w:tcPr>
            <w:tcW w:w="57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3"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w:t>
      </w:r>
      <w:r>
        <w:rPr>
          <w:rFonts w:ascii="Times New Roman" w:hAnsi="Times New Roman"/>
          <w:sz w:val="20"/>
          <w:u w:val="single"/>
        </w:rPr>
        <w:t>   </w:t>
      </w: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 xml:space="preserve">, 20[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H-3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H-4 </w:t>
      </w:r>
    </w:p>
    <w:p>
      <w:pPr>
        <w:pStyle w:val="TextBody"/>
        <w:bidi w:val="0"/>
        <w:spacing w:before="240" w:after="0"/>
        <w:jc w:val="center"/>
        <w:rPr>
          <w:rFonts w:ascii="Times New Roman" w:hAnsi="Times New Roman"/>
          <w:sz w:val="20"/>
        </w:rPr>
      </w:pPr>
      <w:r>
        <w:rPr>
          <w:rFonts w:ascii="Times New Roman" w:hAnsi="Times New Roman"/>
          <w:sz w:val="20"/>
        </w:rPr>
        <w:t xml:space="preserve">U.S. Tax Compliance Certificate (For Foreign Lenders That Are Partnerships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Reference is hereby made to the Receivables Financing Agreement, dated as of February 14, 2023, among Sabre Securitization, LLC (the “</w:t>
      </w:r>
      <w:r>
        <w:rPr>
          <w:rFonts w:ascii="Times New Roman" w:hAnsi="Times New Roman"/>
          <w:sz w:val="20"/>
          <w:u w:val="single"/>
        </w:rPr>
        <w:t>Borrower</w:t>
      </w:r>
      <w:r>
        <w:rPr>
          <w:rFonts w:ascii="Times New Roman" w:hAnsi="Times New Roman"/>
          <w:sz w:val="20"/>
        </w:rPr>
        <w:t>”), Sabre Global Technologies Limited</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Sabre GLBL Inc., </w:t>
      </w:r>
      <w:r>
        <w:rPr>
          <w:rFonts w:ascii="Times New Roman" w:hAnsi="Times New Roman"/>
          <w:strike/>
          <w:color w:val="FF0000"/>
          <w:sz w:val="20"/>
        </w:rPr>
        <w:t>as Servicer (the “</w:t>
      </w:r>
      <w:r>
        <w:rPr>
          <w:rFonts w:ascii="Times New Roman" w:hAnsi="Times New Roman"/>
          <w:strike/>
          <w:color w:val="FF0000"/>
          <w:sz w:val="20"/>
          <w:u w:val="single"/>
        </w:rPr>
        <w:t>Servicer</w:t>
      </w:r>
      <w:r>
        <w:rPr>
          <w:rFonts w:ascii="Times New Roman" w:hAnsi="Times New Roman"/>
          <w:color w:val="0000FF"/>
          <w:sz w:val="20"/>
          <w:u w:val="single"/>
          <w:bdr w:val="double" w:sz="2" w:space="1" w:color="000000"/>
        </w:rPr>
        <w:t>and Sabre Asia Pacific Pte. Ltd., as Servicers (the “Servicers</w:t>
      </w:r>
      <w:r>
        <w:rPr>
          <w:rFonts w:ascii="Times New Roman" w:hAnsi="Times New Roman"/>
          <w:sz w:val="20"/>
        </w:rPr>
        <w:t>”), the Lenders and Lender Representatives party thereto, PNC Bank, National Association, as Administrative Agent (in such capacity, the “</w:t>
      </w:r>
      <w:r>
        <w:rPr>
          <w:rFonts w:ascii="Times New Roman" w:hAnsi="Times New Roman"/>
          <w:sz w:val="20"/>
          <w:u w:val="single"/>
        </w:rPr>
        <w:t>Administrative Agent</w:t>
      </w:r>
      <w:r>
        <w:rPr>
          <w:rFonts w:ascii="Times New Roman" w:hAnsi="Times New Roman"/>
          <w:sz w:val="20"/>
        </w:rPr>
        <w:t>”) and Class A Lender Representative, Centerbridge Credit CS, L.P., as the Class B Lender Representative, and PNC Capital Markets LLC, as Structuring Agent (as amended, restated, supplemented or otherwise modified from time to time, the “</w:t>
      </w:r>
      <w:r>
        <w:rPr>
          <w:rFonts w:ascii="Times New Roman" w:hAnsi="Times New Roman"/>
          <w:sz w:val="20"/>
          <w:u w:val="single"/>
        </w:rPr>
        <w:t>Receivables Financing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Pursuant to the provisions of Section 4.03 [</w:t>
      </w:r>
      <w:r>
        <w:rPr>
          <w:rFonts w:ascii="Times New Roman" w:hAnsi="Times New Roman"/>
          <w:i/>
          <w:sz w:val="20"/>
        </w:rPr>
        <w:t>Taxes</w:t>
      </w:r>
      <w:r>
        <w:rPr>
          <w:rFonts w:ascii="Times New Roman" w:hAnsi="Times New Roman"/>
          <w:sz w:val="20"/>
        </w:rPr>
        <w:t xml:space="preserve">] of the Receivables Financing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Receivables Financing Agreement or any other Transaction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has furnished the Administrative Agent and the Borrower with IRS Form W-8IMY accompanied by one of the following forms from each of its partners/members that is claiming the portfolio interest exemption: (i) an IRS Form W-8BEN-E (or W-8BEN if applicable) or (ii) an IRS Form W-8IMY accompanied by an IRS Form W-8BEN-E (or W-8BEN if applicable)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defined herein, terms defined in the Receivables Financing Agreement and used herein shall have the meanings given to them in the Receivables Financing Agreement.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7"/>
        <w:gridCol w:w="61"/>
        <w:gridCol w:w="3624"/>
      </w:tblGrid>
      <w:tr>
        <w:trPr/>
        <w:tc>
          <w:tcPr>
            <w:tcW w:w="39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OF LENDER]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pPr>
            <w:r>
              <w:rPr/>
              <w:t> </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w:t>
      </w:r>
      <w:r>
        <w:rPr>
          <w:rFonts w:ascii="Times New Roman" w:hAnsi="Times New Roman"/>
          <w:sz w:val="20"/>
          <w:u w:val="single"/>
        </w:rPr>
        <w:t>   </w:t>
      </w: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 xml:space="preserve">, 20[ ]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H-4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 </w:t>
      </w:r>
    </w:p>
    <w:p>
      <w:pPr>
        <w:pStyle w:val="TextBody"/>
        <w:bidi w:val="0"/>
        <w:spacing w:before="0" w:after="0"/>
        <w:jc w:val="center"/>
        <w:rPr>
          <w:rFonts w:ascii="Times New Roman" w:hAnsi="Times New Roman"/>
          <w:b/>
          <w:sz w:val="20"/>
        </w:rPr>
      </w:pPr>
      <w:r>
        <w:rPr>
          <w:rFonts w:ascii="Times New Roman" w:hAnsi="Times New Roman"/>
          <w:b/>
          <w:sz w:val="20"/>
        </w:rPr>
        <w:t xml:space="preserve">Excluded Contracts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53"/>
        <w:gridCol w:w="120"/>
        <w:gridCol w:w="3306"/>
        <w:gridCol w:w="120"/>
        <w:gridCol w:w="3106"/>
      </w:tblGrid>
      <w:tr>
        <w:trPr/>
        <w:tc>
          <w:tcPr>
            <w:tcW w:w="355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0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06" w:type="dxa"/>
            <w:tcBorders/>
            <w:vAlign w:val="center"/>
          </w:tcPr>
          <w:p>
            <w:pPr>
              <w:pStyle w:val="TableContents"/>
              <w:bidi w:val="0"/>
              <w:spacing w:before="0" w:after="283"/>
              <w:jc w:val="left"/>
              <w:rPr>
                <w:sz w:val="4"/>
                <w:szCs w:val="4"/>
              </w:rPr>
            </w:pPr>
            <w:r>
              <w:rPr>
                <w:sz w:val="4"/>
                <w:szCs w:val="4"/>
              </w:rPr>
            </w:r>
          </w:p>
        </w:tc>
      </w:tr>
      <w:tr>
        <w:trPr/>
        <w:tc>
          <w:tcPr>
            <w:tcW w:w="355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Obligor</w:t>
            </w:r>
          </w:p>
        </w:tc>
        <w:tc>
          <w:tcPr>
            <w:tcW w:w="120" w:type="dxa"/>
            <w:tcBorders/>
            <w:vAlign w:val="bottom"/>
          </w:tcPr>
          <w:p>
            <w:pPr>
              <w:pStyle w:val="TableContents"/>
              <w:bidi w:val="0"/>
              <w:spacing w:before="0" w:after="283"/>
              <w:jc w:val="left"/>
              <w:rPr/>
            </w:pPr>
            <w:r>
              <w:rPr/>
              <w:t>  </w:t>
            </w:r>
          </w:p>
        </w:tc>
        <w:tc>
          <w:tcPr>
            <w:tcW w:w="330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Contract Number</w:t>
            </w:r>
          </w:p>
        </w:tc>
        <w:tc>
          <w:tcPr>
            <w:tcW w:w="120" w:type="dxa"/>
            <w:tcBorders/>
            <w:vAlign w:val="bottom"/>
          </w:tcPr>
          <w:p>
            <w:pPr>
              <w:pStyle w:val="TableContents"/>
              <w:bidi w:val="0"/>
              <w:spacing w:before="0" w:after="283"/>
              <w:jc w:val="left"/>
              <w:rPr/>
            </w:pPr>
            <w:r>
              <w:rPr/>
              <w:t>  </w:t>
            </w:r>
          </w:p>
        </w:tc>
        <w:tc>
          <w:tcPr>
            <w:tcW w:w="310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Company Code</w:t>
            </w:r>
          </w:p>
        </w:tc>
      </w:tr>
      <w:tr>
        <w:trPr/>
        <w:tc>
          <w:tcPr>
            <w:tcW w:w="3553" w:type="dxa"/>
            <w:tcBorders/>
          </w:tcPr>
          <w:p>
            <w:pPr>
              <w:pStyle w:val="TableContents"/>
              <w:bidi w:val="0"/>
              <w:spacing w:before="0" w:after="283"/>
              <w:jc w:val="left"/>
              <w:rPr/>
            </w:pPr>
            <w:r>
              <w:rPr/>
              <w:t>TAP Air Portugal</w:t>
            </w:r>
          </w:p>
        </w:tc>
        <w:tc>
          <w:tcPr>
            <w:tcW w:w="120" w:type="dxa"/>
            <w:tcBorders/>
            <w:vAlign w:val="bottom"/>
          </w:tcPr>
          <w:p>
            <w:pPr>
              <w:pStyle w:val="TableContents"/>
              <w:bidi w:val="0"/>
              <w:spacing w:before="0" w:after="283"/>
              <w:jc w:val="left"/>
              <w:rPr/>
            </w:pPr>
            <w:r>
              <w:rPr/>
              <w:t>  </w:t>
            </w:r>
          </w:p>
        </w:tc>
        <w:tc>
          <w:tcPr>
            <w:tcW w:w="3306" w:type="dxa"/>
            <w:tcBorders/>
          </w:tcPr>
          <w:p>
            <w:pPr>
              <w:pStyle w:val="TableContents"/>
              <w:bidi w:val="0"/>
              <w:spacing w:before="0" w:after="283"/>
              <w:jc w:val="center"/>
              <w:rPr/>
            </w:pPr>
            <w:r>
              <w:rPr/>
              <w:t>ATP</w:t>
            </w:r>
          </w:p>
        </w:tc>
        <w:tc>
          <w:tcPr>
            <w:tcW w:w="120" w:type="dxa"/>
            <w:tcBorders/>
            <w:vAlign w:val="bottom"/>
          </w:tcPr>
          <w:p>
            <w:pPr>
              <w:pStyle w:val="TableContents"/>
              <w:bidi w:val="0"/>
              <w:spacing w:before="0" w:after="283"/>
              <w:jc w:val="left"/>
              <w:rPr/>
            </w:pPr>
            <w:r>
              <w:rPr/>
              <w:t>  </w:t>
            </w:r>
          </w:p>
        </w:tc>
        <w:tc>
          <w:tcPr>
            <w:tcW w:w="3106" w:type="dxa"/>
            <w:tcBorders/>
          </w:tcPr>
          <w:p>
            <w:pPr>
              <w:pStyle w:val="TableContents"/>
              <w:bidi w:val="0"/>
              <w:spacing w:before="0" w:after="283"/>
              <w:jc w:val="center"/>
              <w:rPr/>
            </w:pPr>
            <w:r>
              <w:rPr/>
              <w:t>3001</w:t>
            </w:r>
          </w:p>
        </w:tc>
      </w:tr>
      <w:tr>
        <w:trPr/>
        <w:tc>
          <w:tcPr>
            <w:tcW w:w="3553" w:type="dxa"/>
            <w:tcBorders/>
          </w:tcPr>
          <w:p>
            <w:pPr>
              <w:pStyle w:val="TableContents"/>
              <w:bidi w:val="0"/>
              <w:spacing w:before="0" w:after="283"/>
              <w:jc w:val="left"/>
              <w:rPr/>
            </w:pPr>
            <w:r>
              <w:rPr/>
              <w:t>Qatar Airways</w:t>
            </w:r>
          </w:p>
        </w:tc>
        <w:tc>
          <w:tcPr>
            <w:tcW w:w="120" w:type="dxa"/>
            <w:tcBorders/>
            <w:vAlign w:val="bottom"/>
          </w:tcPr>
          <w:p>
            <w:pPr>
              <w:pStyle w:val="TableContents"/>
              <w:bidi w:val="0"/>
              <w:spacing w:before="0" w:after="283"/>
              <w:jc w:val="left"/>
              <w:rPr/>
            </w:pPr>
            <w:r>
              <w:rPr/>
              <w:t>  </w:t>
            </w:r>
          </w:p>
        </w:tc>
        <w:tc>
          <w:tcPr>
            <w:tcW w:w="3306" w:type="dxa"/>
            <w:tcBorders/>
          </w:tcPr>
          <w:p>
            <w:pPr>
              <w:pStyle w:val="TableContents"/>
              <w:bidi w:val="0"/>
              <w:spacing w:before="0" w:after="283"/>
              <w:jc w:val="center"/>
              <w:rPr/>
            </w:pPr>
            <w:r>
              <w:rPr/>
              <w:t>AQR</w:t>
            </w:r>
          </w:p>
        </w:tc>
        <w:tc>
          <w:tcPr>
            <w:tcW w:w="120" w:type="dxa"/>
            <w:tcBorders/>
            <w:vAlign w:val="bottom"/>
          </w:tcPr>
          <w:p>
            <w:pPr>
              <w:pStyle w:val="TableContents"/>
              <w:bidi w:val="0"/>
              <w:spacing w:before="0" w:after="283"/>
              <w:jc w:val="left"/>
              <w:rPr/>
            </w:pPr>
            <w:r>
              <w:rPr/>
              <w:t>  </w:t>
            </w:r>
          </w:p>
        </w:tc>
        <w:tc>
          <w:tcPr>
            <w:tcW w:w="3106" w:type="dxa"/>
            <w:tcBorders/>
          </w:tcPr>
          <w:p>
            <w:pPr>
              <w:pStyle w:val="TableContents"/>
              <w:bidi w:val="0"/>
              <w:spacing w:before="0" w:after="283"/>
              <w:jc w:val="center"/>
              <w:rPr/>
            </w:pPr>
            <w:r>
              <w:rPr/>
              <w:t>3001</w:t>
            </w:r>
          </w:p>
        </w:tc>
      </w:tr>
      <w:tr>
        <w:trPr/>
        <w:tc>
          <w:tcPr>
            <w:tcW w:w="3553" w:type="dxa"/>
            <w:tcBorders/>
          </w:tcPr>
          <w:p>
            <w:pPr>
              <w:pStyle w:val="TableContents"/>
              <w:bidi w:val="0"/>
              <w:spacing w:before="0" w:after="283"/>
              <w:jc w:val="left"/>
              <w:rPr/>
            </w:pPr>
            <w:r>
              <w:rPr/>
              <w:t>Aerolineas Argentinas S.A.</w:t>
            </w:r>
          </w:p>
        </w:tc>
        <w:tc>
          <w:tcPr>
            <w:tcW w:w="120" w:type="dxa"/>
            <w:tcBorders/>
            <w:vAlign w:val="bottom"/>
          </w:tcPr>
          <w:p>
            <w:pPr>
              <w:pStyle w:val="TableContents"/>
              <w:bidi w:val="0"/>
              <w:spacing w:before="0" w:after="283"/>
              <w:jc w:val="left"/>
              <w:rPr/>
            </w:pPr>
            <w:r>
              <w:rPr/>
              <w:t>  </w:t>
            </w:r>
          </w:p>
        </w:tc>
        <w:tc>
          <w:tcPr>
            <w:tcW w:w="3306" w:type="dxa"/>
            <w:tcBorders/>
          </w:tcPr>
          <w:p>
            <w:pPr>
              <w:pStyle w:val="TableContents"/>
              <w:bidi w:val="0"/>
              <w:spacing w:before="0" w:after="283"/>
              <w:jc w:val="center"/>
              <w:rPr/>
            </w:pPr>
            <w:r>
              <w:rPr/>
              <w:t>MHAR</w:t>
            </w:r>
          </w:p>
        </w:tc>
        <w:tc>
          <w:tcPr>
            <w:tcW w:w="120" w:type="dxa"/>
            <w:tcBorders/>
            <w:vAlign w:val="bottom"/>
          </w:tcPr>
          <w:p>
            <w:pPr>
              <w:pStyle w:val="TableContents"/>
              <w:bidi w:val="0"/>
              <w:spacing w:before="0" w:after="283"/>
              <w:jc w:val="left"/>
              <w:rPr/>
            </w:pPr>
            <w:r>
              <w:rPr/>
              <w:t>  </w:t>
            </w:r>
          </w:p>
        </w:tc>
        <w:tc>
          <w:tcPr>
            <w:tcW w:w="3106" w:type="dxa"/>
            <w:tcBorders/>
          </w:tcPr>
          <w:p>
            <w:pPr>
              <w:pStyle w:val="TableContents"/>
              <w:bidi w:val="0"/>
              <w:spacing w:before="0" w:after="283"/>
              <w:jc w:val="center"/>
              <w:rPr/>
            </w:pPr>
            <w:r>
              <w:rPr/>
              <w:t>1001</w:t>
            </w:r>
          </w:p>
        </w:tc>
      </w:tr>
      <w:tr>
        <w:trPr/>
        <w:tc>
          <w:tcPr>
            <w:tcW w:w="3553" w:type="dxa"/>
            <w:tcBorders/>
          </w:tcPr>
          <w:p>
            <w:pPr>
              <w:pStyle w:val="TableContents"/>
              <w:bidi w:val="0"/>
              <w:spacing w:before="0" w:after="283"/>
              <w:jc w:val="left"/>
              <w:rPr/>
            </w:pPr>
            <w:r>
              <w:rPr/>
              <w:t>Ethiopian Airlines</w:t>
            </w:r>
          </w:p>
        </w:tc>
        <w:tc>
          <w:tcPr>
            <w:tcW w:w="120" w:type="dxa"/>
            <w:tcBorders/>
            <w:vAlign w:val="bottom"/>
          </w:tcPr>
          <w:p>
            <w:pPr>
              <w:pStyle w:val="TableContents"/>
              <w:bidi w:val="0"/>
              <w:spacing w:before="0" w:after="283"/>
              <w:jc w:val="left"/>
              <w:rPr/>
            </w:pPr>
            <w:r>
              <w:rPr/>
              <w:t>  </w:t>
            </w:r>
          </w:p>
        </w:tc>
        <w:tc>
          <w:tcPr>
            <w:tcW w:w="3306" w:type="dxa"/>
            <w:tcBorders/>
          </w:tcPr>
          <w:p>
            <w:pPr>
              <w:pStyle w:val="TableContents"/>
              <w:bidi w:val="0"/>
              <w:spacing w:before="0" w:after="283"/>
              <w:jc w:val="center"/>
              <w:rPr/>
            </w:pPr>
            <w:r>
              <w:rPr/>
              <w:t>EC600445</w:t>
            </w:r>
          </w:p>
        </w:tc>
        <w:tc>
          <w:tcPr>
            <w:tcW w:w="120" w:type="dxa"/>
            <w:tcBorders/>
            <w:vAlign w:val="bottom"/>
          </w:tcPr>
          <w:p>
            <w:pPr>
              <w:pStyle w:val="TableContents"/>
              <w:bidi w:val="0"/>
              <w:spacing w:before="0" w:after="283"/>
              <w:jc w:val="left"/>
              <w:rPr/>
            </w:pPr>
            <w:r>
              <w:rPr/>
              <w:t>  </w:t>
            </w:r>
          </w:p>
        </w:tc>
        <w:tc>
          <w:tcPr>
            <w:tcW w:w="3106" w:type="dxa"/>
            <w:tcBorders/>
          </w:tcPr>
          <w:p>
            <w:pPr>
              <w:pStyle w:val="TableContents"/>
              <w:bidi w:val="0"/>
              <w:spacing w:before="0" w:after="283"/>
              <w:jc w:val="center"/>
              <w:rPr/>
            </w:pPr>
            <w:r>
              <w:rPr/>
              <w:t>1001</w:t>
            </w:r>
          </w:p>
        </w:tc>
      </w:tr>
      <w:tr>
        <w:trPr/>
        <w:tc>
          <w:tcPr>
            <w:tcW w:w="3553" w:type="dxa"/>
            <w:tcBorders/>
          </w:tcPr>
          <w:p>
            <w:pPr>
              <w:pStyle w:val="TableContents"/>
              <w:bidi w:val="0"/>
              <w:spacing w:before="0" w:after="283"/>
              <w:jc w:val="left"/>
              <w:rPr/>
            </w:pPr>
            <w:r>
              <w:rPr/>
              <w:t>Etihad Airways</w:t>
            </w:r>
          </w:p>
        </w:tc>
        <w:tc>
          <w:tcPr>
            <w:tcW w:w="120" w:type="dxa"/>
            <w:tcBorders/>
            <w:vAlign w:val="bottom"/>
          </w:tcPr>
          <w:p>
            <w:pPr>
              <w:pStyle w:val="TableContents"/>
              <w:bidi w:val="0"/>
              <w:spacing w:before="0" w:after="283"/>
              <w:jc w:val="left"/>
              <w:rPr/>
            </w:pPr>
            <w:r>
              <w:rPr/>
              <w:t>  </w:t>
            </w:r>
          </w:p>
        </w:tc>
        <w:tc>
          <w:tcPr>
            <w:tcW w:w="3306" w:type="dxa"/>
            <w:tcBorders/>
          </w:tcPr>
          <w:p>
            <w:pPr>
              <w:pStyle w:val="TableContents"/>
              <w:bidi w:val="0"/>
              <w:spacing w:before="0" w:after="283"/>
              <w:jc w:val="center"/>
              <w:rPr/>
            </w:pPr>
            <w:r>
              <w:rPr/>
              <w:t>EC604400</w:t>
            </w:r>
          </w:p>
        </w:tc>
        <w:tc>
          <w:tcPr>
            <w:tcW w:w="120" w:type="dxa"/>
            <w:tcBorders/>
            <w:vAlign w:val="bottom"/>
          </w:tcPr>
          <w:p>
            <w:pPr>
              <w:pStyle w:val="TableContents"/>
              <w:bidi w:val="0"/>
              <w:spacing w:before="0" w:after="283"/>
              <w:jc w:val="left"/>
              <w:rPr/>
            </w:pPr>
            <w:r>
              <w:rPr/>
              <w:t>  </w:t>
            </w:r>
          </w:p>
        </w:tc>
        <w:tc>
          <w:tcPr>
            <w:tcW w:w="3106" w:type="dxa"/>
            <w:tcBorders/>
          </w:tcPr>
          <w:p>
            <w:pPr>
              <w:pStyle w:val="TableContents"/>
              <w:bidi w:val="0"/>
              <w:spacing w:before="0" w:after="283"/>
              <w:jc w:val="center"/>
              <w:rPr/>
            </w:pPr>
            <w:r>
              <w:rPr/>
              <w:t>1001</w:t>
            </w:r>
          </w:p>
        </w:tc>
      </w:tr>
      <w:tr>
        <w:trPr/>
        <w:tc>
          <w:tcPr>
            <w:tcW w:w="3553" w:type="dxa"/>
            <w:tcBorders/>
          </w:tcPr>
          <w:p>
            <w:pPr>
              <w:pStyle w:val="TableContents"/>
              <w:bidi w:val="0"/>
              <w:spacing w:before="0" w:after="283"/>
              <w:jc w:val="left"/>
              <w:rPr/>
            </w:pPr>
            <w:r>
              <w:rPr/>
              <w:t>China Eastern Airlines</w:t>
            </w:r>
          </w:p>
        </w:tc>
        <w:tc>
          <w:tcPr>
            <w:tcW w:w="120" w:type="dxa"/>
            <w:tcBorders/>
            <w:vAlign w:val="bottom"/>
          </w:tcPr>
          <w:p>
            <w:pPr>
              <w:pStyle w:val="TableContents"/>
              <w:bidi w:val="0"/>
              <w:spacing w:before="0" w:after="283"/>
              <w:jc w:val="left"/>
              <w:rPr/>
            </w:pPr>
            <w:r>
              <w:rPr/>
              <w:t>  </w:t>
            </w:r>
          </w:p>
        </w:tc>
        <w:tc>
          <w:tcPr>
            <w:tcW w:w="3306" w:type="dxa"/>
            <w:tcBorders/>
          </w:tcPr>
          <w:p>
            <w:pPr>
              <w:pStyle w:val="TableContents"/>
              <w:bidi w:val="0"/>
              <w:spacing w:before="0" w:after="283"/>
              <w:jc w:val="center"/>
              <w:rPr/>
            </w:pPr>
            <w:r>
              <w:rPr/>
              <w:t>EC600425</w:t>
            </w:r>
          </w:p>
        </w:tc>
        <w:tc>
          <w:tcPr>
            <w:tcW w:w="120" w:type="dxa"/>
            <w:tcBorders/>
            <w:vAlign w:val="bottom"/>
          </w:tcPr>
          <w:p>
            <w:pPr>
              <w:pStyle w:val="TableContents"/>
              <w:bidi w:val="0"/>
              <w:spacing w:before="0" w:after="283"/>
              <w:jc w:val="left"/>
              <w:rPr/>
            </w:pPr>
            <w:r>
              <w:rPr/>
              <w:t>  </w:t>
            </w:r>
          </w:p>
        </w:tc>
        <w:tc>
          <w:tcPr>
            <w:tcW w:w="3106" w:type="dxa"/>
            <w:tcBorders/>
          </w:tcPr>
          <w:p>
            <w:pPr>
              <w:pStyle w:val="TableContents"/>
              <w:bidi w:val="0"/>
              <w:spacing w:before="0" w:after="283"/>
              <w:jc w:val="center"/>
              <w:rPr/>
            </w:pPr>
            <w:r>
              <w:rPr/>
              <w:t>1001</w:t>
            </w:r>
          </w:p>
        </w:tc>
      </w:tr>
      <w:tr>
        <w:trPr/>
        <w:tc>
          <w:tcPr>
            <w:tcW w:w="3553" w:type="dxa"/>
            <w:tcBorders/>
          </w:tcPr>
          <w:p>
            <w:pPr>
              <w:pStyle w:val="TableContents"/>
              <w:bidi w:val="0"/>
              <w:spacing w:before="0" w:after="283"/>
              <w:jc w:val="left"/>
              <w:rPr/>
            </w:pPr>
            <w:r>
              <w:rPr/>
              <w:t>Air China Ltd</w:t>
            </w:r>
          </w:p>
        </w:tc>
        <w:tc>
          <w:tcPr>
            <w:tcW w:w="120" w:type="dxa"/>
            <w:tcBorders/>
            <w:vAlign w:val="bottom"/>
          </w:tcPr>
          <w:p>
            <w:pPr>
              <w:pStyle w:val="TableContents"/>
              <w:bidi w:val="0"/>
              <w:spacing w:before="0" w:after="283"/>
              <w:jc w:val="left"/>
              <w:rPr/>
            </w:pPr>
            <w:r>
              <w:rPr/>
              <w:t>  </w:t>
            </w:r>
          </w:p>
        </w:tc>
        <w:tc>
          <w:tcPr>
            <w:tcW w:w="3306" w:type="dxa"/>
            <w:tcBorders/>
          </w:tcPr>
          <w:p>
            <w:pPr>
              <w:pStyle w:val="TableContents"/>
              <w:bidi w:val="0"/>
              <w:spacing w:before="0" w:after="283"/>
              <w:jc w:val="center"/>
              <w:rPr/>
            </w:pPr>
            <w:r>
              <w:rPr/>
              <w:t>EC600072</w:t>
            </w:r>
          </w:p>
        </w:tc>
        <w:tc>
          <w:tcPr>
            <w:tcW w:w="120" w:type="dxa"/>
            <w:tcBorders/>
            <w:vAlign w:val="bottom"/>
          </w:tcPr>
          <w:p>
            <w:pPr>
              <w:pStyle w:val="TableContents"/>
              <w:bidi w:val="0"/>
              <w:spacing w:before="0" w:after="283"/>
              <w:jc w:val="left"/>
              <w:rPr/>
            </w:pPr>
            <w:r>
              <w:rPr/>
              <w:t>  </w:t>
            </w:r>
          </w:p>
        </w:tc>
        <w:tc>
          <w:tcPr>
            <w:tcW w:w="3106" w:type="dxa"/>
            <w:tcBorders/>
          </w:tcPr>
          <w:p>
            <w:pPr>
              <w:pStyle w:val="TableContents"/>
              <w:bidi w:val="0"/>
              <w:spacing w:before="0" w:after="283"/>
              <w:jc w:val="center"/>
              <w:rPr/>
            </w:pPr>
            <w:r>
              <w:rPr/>
              <w:t>1001</w:t>
            </w:r>
          </w:p>
        </w:tc>
      </w:tr>
      <w:tr>
        <w:trPr/>
        <w:tc>
          <w:tcPr>
            <w:tcW w:w="3553" w:type="dxa"/>
            <w:tcBorders/>
          </w:tcPr>
          <w:p>
            <w:pPr>
              <w:pStyle w:val="TableContents"/>
              <w:bidi w:val="0"/>
              <w:spacing w:before="0" w:after="283"/>
              <w:jc w:val="left"/>
              <w:rPr/>
            </w:pPr>
            <w:r>
              <w:rPr/>
              <w:t>Air China Ltd</w:t>
            </w:r>
          </w:p>
        </w:tc>
        <w:tc>
          <w:tcPr>
            <w:tcW w:w="120" w:type="dxa"/>
            <w:tcBorders/>
            <w:vAlign w:val="bottom"/>
          </w:tcPr>
          <w:p>
            <w:pPr>
              <w:pStyle w:val="TableContents"/>
              <w:bidi w:val="0"/>
              <w:spacing w:before="0" w:after="283"/>
              <w:jc w:val="left"/>
              <w:rPr/>
            </w:pPr>
            <w:r>
              <w:rPr/>
              <w:t>  </w:t>
            </w:r>
          </w:p>
        </w:tc>
        <w:tc>
          <w:tcPr>
            <w:tcW w:w="3306" w:type="dxa"/>
            <w:tcBorders/>
          </w:tcPr>
          <w:p>
            <w:pPr>
              <w:pStyle w:val="TableContents"/>
              <w:bidi w:val="0"/>
              <w:spacing w:before="0" w:after="283"/>
              <w:jc w:val="center"/>
              <w:rPr/>
            </w:pPr>
            <w:r>
              <w:rPr/>
              <w:t>EC600072A</w:t>
            </w:r>
          </w:p>
        </w:tc>
        <w:tc>
          <w:tcPr>
            <w:tcW w:w="120" w:type="dxa"/>
            <w:tcBorders/>
            <w:vAlign w:val="bottom"/>
          </w:tcPr>
          <w:p>
            <w:pPr>
              <w:pStyle w:val="TableContents"/>
              <w:bidi w:val="0"/>
              <w:spacing w:before="0" w:after="283"/>
              <w:jc w:val="left"/>
              <w:rPr/>
            </w:pPr>
            <w:r>
              <w:rPr/>
              <w:t>  </w:t>
            </w:r>
          </w:p>
        </w:tc>
        <w:tc>
          <w:tcPr>
            <w:tcW w:w="3106" w:type="dxa"/>
            <w:tcBorders/>
          </w:tcPr>
          <w:p>
            <w:pPr>
              <w:pStyle w:val="TableContents"/>
              <w:bidi w:val="0"/>
              <w:spacing w:before="0" w:after="283"/>
              <w:jc w:val="center"/>
              <w:rPr/>
            </w:pPr>
            <w:r>
              <w:rPr/>
              <w:t>1001</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I-1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J </w:t>
      </w:r>
    </w:p>
    <w:p>
      <w:pPr>
        <w:pStyle w:val="TextBody"/>
        <w:bidi w:val="0"/>
        <w:spacing w:before="0" w:after="0"/>
        <w:jc w:val="center"/>
        <w:rPr>
          <w:rFonts w:ascii="Times New Roman" w:hAnsi="Times New Roman"/>
          <w:b/>
          <w:sz w:val="20"/>
        </w:rPr>
      </w:pPr>
      <w:r>
        <w:rPr>
          <w:rFonts w:ascii="Times New Roman" w:hAnsi="Times New Roman"/>
          <w:b/>
          <w:sz w:val="20"/>
        </w:rPr>
        <w:t xml:space="preserve">Servicing Fee Rate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23"/>
        <w:gridCol w:w="857"/>
        <w:gridCol w:w="231"/>
        <w:gridCol w:w="1716"/>
        <w:gridCol w:w="278"/>
      </w:tblGrid>
      <w:tr>
        <w:trPr/>
        <w:tc>
          <w:tcPr>
            <w:tcW w:w="7123" w:type="dxa"/>
            <w:tcBorders/>
            <w:vAlign w:val="center"/>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7123"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b/>
                <w:color w:val="0000FF"/>
                <w:sz w:val="16"/>
                <w:u w:val="single"/>
                <w:bdr w:val="double" w:sz="2" w:space="1" w:color="000000"/>
              </w:rPr>
              <w:t>Servicer</w:t>
            </w:r>
            <w:r>
              <w:rPr>
                <w:rFonts w:ascii="Times New Roman" w:hAnsi="Times New Roman"/>
                <w:sz w:val="16"/>
              </w:rPr>
              <w:t xml:space="preserve"> </w:t>
            </w:r>
          </w:p>
        </w:tc>
        <w:tc>
          <w:tcPr>
            <w:tcW w:w="857" w:type="dxa"/>
            <w:tcBorders/>
            <w:vAlign w:val="bottom"/>
          </w:tcPr>
          <w:p>
            <w:pPr>
              <w:pStyle w:val="TableContents"/>
              <w:bidi w:val="0"/>
              <w:spacing w:before="0" w:after="283"/>
              <w:jc w:val="left"/>
              <w:rPr/>
            </w:pPr>
            <w:r>
              <w:rPr/>
              <w:t>  </w:t>
            </w:r>
          </w:p>
        </w:tc>
        <w:tc>
          <w:tcPr>
            <w:tcW w:w="1947" w:type="dxa"/>
            <w:gridSpan w:val="2"/>
            <w:tcBorders>
              <w:bottom w:val="single" w:sz="8" w:space="0" w:color="000000"/>
            </w:tcBorders>
            <w:tcMar>
              <w:bottom w:w="28" w:type="dxa"/>
            </w:tcMar>
            <w:vAlign w:val="bottom"/>
          </w:tcPr>
          <w:p>
            <w:pPr>
              <w:pStyle w:val="TableContents"/>
              <w:bidi w:val="0"/>
              <w:spacing w:before="0" w:after="283"/>
              <w:jc w:val="center"/>
              <w:rPr>
                <w:b/>
                <w:color w:val="0000FF"/>
                <w:u w:val="single"/>
                <w:bdr w:val="double" w:sz="2" w:space="1" w:color="000000"/>
              </w:rPr>
            </w:pPr>
            <w:r>
              <w:rPr>
                <w:b/>
                <w:color w:val="0000FF"/>
                <w:u w:val="single"/>
                <w:bdr w:val="double" w:sz="2" w:space="1" w:color="000000"/>
              </w:rPr>
              <w:t>Servicing Fee Rate</w:t>
            </w:r>
          </w:p>
        </w:tc>
        <w:tc>
          <w:tcPr>
            <w:tcW w:w="278" w:type="dxa"/>
            <w:tcBorders/>
            <w:vAlign w:val="bottom"/>
          </w:tcPr>
          <w:p>
            <w:pPr>
              <w:pStyle w:val="TableContents"/>
              <w:bidi w:val="0"/>
              <w:spacing w:before="0" w:after="283"/>
              <w:jc w:val="left"/>
              <w:rPr/>
            </w:pPr>
            <w:r>
              <w:rPr/>
              <w:t> </w:t>
            </w:r>
          </w:p>
        </w:tc>
      </w:tr>
      <w:tr>
        <w:trPr/>
        <w:tc>
          <w:tcPr>
            <w:tcW w:w="7123" w:type="dxa"/>
            <w:tcBorders/>
            <w:shd w:fill="CCEEFF" w:val="clear"/>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U.S. Servicer</w:t>
            </w:r>
          </w:p>
        </w:tc>
        <w:tc>
          <w:tcPr>
            <w:tcW w:w="857"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1.00</w:t>
            </w:r>
          </w:p>
        </w:tc>
        <w:tc>
          <w:tcPr>
            <w:tcW w:w="278" w:type="dxa"/>
            <w:tcBorders/>
            <w:shd w:fill="CCEEFF" w:val="clear"/>
            <w:vAlign w:val="bottom"/>
          </w:tcPr>
          <w:p>
            <w:pPr>
              <w:pStyle w:val="TableContents"/>
              <w:bidi w:val="0"/>
              <w:spacing w:before="0" w:after="283"/>
              <w:jc w:val="left"/>
              <w:rPr/>
            </w:pPr>
            <w:r>
              <w:rPr>
                <w:color w:val="0000FF"/>
              </w:rPr>
              <w:t>%</w:t>
            </w:r>
            <w:r>
              <w:rPr/>
              <w:t> </w:t>
            </w:r>
          </w:p>
        </w:tc>
      </w:tr>
      <w:tr>
        <w:trPr/>
        <w:tc>
          <w:tcPr>
            <w:tcW w:w="7123" w:type="dxa"/>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UK Servicer</w:t>
            </w:r>
          </w:p>
        </w:tc>
        <w:tc>
          <w:tcPr>
            <w:tcW w:w="857"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1.00</w:t>
            </w:r>
          </w:p>
        </w:tc>
        <w:tc>
          <w:tcPr>
            <w:tcW w:w="278" w:type="dxa"/>
            <w:tcBorders/>
            <w:vAlign w:val="bottom"/>
          </w:tcPr>
          <w:p>
            <w:pPr>
              <w:pStyle w:val="TableContents"/>
              <w:bidi w:val="0"/>
              <w:spacing w:before="0" w:after="283"/>
              <w:jc w:val="left"/>
              <w:rPr/>
            </w:pPr>
            <w:r>
              <w:rPr>
                <w:color w:val="0000FF"/>
              </w:rPr>
              <w:t>%</w:t>
            </w:r>
            <w:r>
              <w:rPr/>
              <w:t> </w:t>
            </w:r>
          </w:p>
        </w:tc>
      </w:tr>
      <w:tr>
        <w:trPr/>
        <w:tc>
          <w:tcPr>
            <w:tcW w:w="7123" w:type="dxa"/>
            <w:tcBorders/>
            <w:shd w:fill="CCEEFF" w:val="clear"/>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SG Servicer</w:t>
            </w:r>
          </w:p>
        </w:tc>
        <w:tc>
          <w:tcPr>
            <w:tcW w:w="857"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1.00</w:t>
            </w:r>
          </w:p>
        </w:tc>
        <w:tc>
          <w:tcPr>
            <w:tcW w:w="278" w:type="dxa"/>
            <w:tcBorders/>
            <w:shd w:fill="CCEEFF" w:val="clear"/>
            <w:vAlign w:val="bottom"/>
          </w:tcPr>
          <w:p>
            <w:pPr>
              <w:pStyle w:val="TableContents"/>
              <w:bidi w:val="0"/>
              <w:spacing w:before="0" w:after="283"/>
              <w:jc w:val="left"/>
              <w:rPr/>
            </w:pPr>
            <w:r>
              <w:rPr>
                <w:color w:val="0000FF"/>
              </w:rPr>
              <w:t>%</w:t>
            </w: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J-1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 </w:t>
      </w:r>
    </w:p>
    <w:p>
      <w:pPr>
        <w:pStyle w:val="TextBody"/>
        <w:bidi w:val="0"/>
        <w:spacing w:before="0" w:after="0"/>
        <w:jc w:val="center"/>
        <w:rPr>
          <w:rFonts w:ascii="Times New Roman" w:hAnsi="Times New Roman"/>
          <w:b/>
          <w:sz w:val="20"/>
        </w:rPr>
      </w:pPr>
      <w:r>
        <w:rPr>
          <w:rFonts w:ascii="Times New Roman" w:hAnsi="Times New Roman"/>
          <w:b/>
          <w:sz w:val="20"/>
        </w:rPr>
        <w:t xml:space="preserve">Lenders &amp; Commitments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87"/>
        <w:gridCol w:w="219"/>
        <w:gridCol w:w="140"/>
        <w:gridCol w:w="2797"/>
        <w:gridCol w:w="62"/>
      </w:tblGrid>
      <w:tr>
        <w:trPr/>
        <w:tc>
          <w:tcPr>
            <w:tcW w:w="6987"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9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6987"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Class A Lender</w:t>
            </w:r>
          </w:p>
        </w:tc>
        <w:tc>
          <w:tcPr>
            <w:tcW w:w="219" w:type="dxa"/>
            <w:tcBorders/>
            <w:vAlign w:val="bottom"/>
          </w:tcPr>
          <w:p>
            <w:pPr>
              <w:pStyle w:val="TableContents"/>
              <w:bidi w:val="0"/>
              <w:spacing w:before="0" w:after="283"/>
              <w:jc w:val="left"/>
              <w:rPr/>
            </w:pPr>
            <w:r>
              <w:rPr/>
              <w:t>  </w:t>
            </w:r>
          </w:p>
        </w:tc>
        <w:tc>
          <w:tcPr>
            <w:tcW w:w="2937" w:type="dxa"/>
            <w:gridSpan w:val="2"/>
            <w:tcBorders>
              <w:bottom w:val="single" w:sz="8" w:space="0" w:color="000000"/>
            </w:tcBorders>
            <w:tcMar>
              <w:bottom w:w="28" w:type="dxa"/>
            </w:tcMar>
            <w:vAlign w:val="bottom"/>
          </w:tcPr>
          <w:p>
            <w:pPr>
              <w:pStyle w:val="TableContents"/>
              <w:bidi w:val="0"/>
              <w:spacing w:before="0" w:after="283"/>
              <w:jc w:val="center"/>
              <w:rPr/>
            </w:pPr>
            <w:r>
              <w:rPr/>
              <w:t>Class A Commitment</w:t>
            </w:r>
          </w:p>
        </w:tc>
        <w:tc>
          <w:tcPr>
            <w:tcW w:w="62" w:type="dxa"/>
            <w:tcBorders/>
            <w:vAlign w:val="bottom"/>
          </w:tcPr>
          <w:p>
            <w:pPr>
              <w:pStyle w:val="TableContents"/>
              <w:bidi w:val="0"/>
              <w:spacing w:before="0" w:after="283"/>
              <w:jc w:val="left"/>
              <w:rPr/>
            </w:pPr>
            <w:r>
              <w:rPr/>
              <w:t> </w:t>
            </w:r>
          </w:p>
        </w:tc>
      </w:tr>
      <w:tr>
        <w:trPr/>
        <w:tc>
          <w:tcPr>
            <w:tcW w:w="69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PNC Bank, National Association</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2797" w:type="dxa"/>
            <w:tcBorders/>
            <w:shd w:fill="CCEEFF" w:val="clear"/>
            <w:vAlign w:val="bottom"/>
          </w:tcPr>
          <w:p>
            <w:pPr>
              <w:pStyle w:val="TableContents"/>
              <w:bidi w:val="0"/>
              <w:spacing w:before="0" w:after="283"/>
              <w:jc w:val="right"/>
              <w:rPr/>
            </w:pPr>
            <w:r>
              <w:rPr>
                <w:strike/>
                <w:color w:val="FF0000"/>
              </w:rPr>
              <w:t>115,000,000</w:t>
            </w:r>
            <w:r>
              <w:rPr>
                <w:color w:val="0000FF"/>
                <w:u w:val="single"/>
                <w:bdr w:val="double" w:sz="2" w:space="1" w:color="000000"/>
              </w:rPr>
              <w:t>130,000,000</w:t>
            </w:r>
          </w:p>
        </w:tc>
        <w:tc>
          <w:tcPr>
            <w:tcW w:w="62" w:type="dxa"/>
            <w:tcBorders/>
            <w:shd w:fill="CCEEFF" w:val="clear"/>
            <w:vAlign w:val="bottom"/>
          </w:tcPr>
          <w:p>
            <w:pPr>
              <w:pStyle w:val="TableContents"/>
              <w:bidi w:val="0"/>
              <w:spacing w:before="0" w:after="283"/>
              <w:jc w:val="left"/>
              <w:rPr/>
            </w:pPr>
            <w:r>
              <w:rPr/>
              <w:t> </w:t>
            </w:r>
          </w:p>
        </w:tc>
      </w:tr>
      <w:tr>
        <w:trPr>
          <w:trHeight w:val="240" w:hRule="atLeast"/>
        </w:trPr>
        <w:tc>
          <w:tcPr>
            <w:tcW w:w="6987" w:type="dxa"/>
            <w:tcBorders/>
            <w:vAlign w:val="center"/>
          </w:tcPr>
          <w:p>
            <w:pPr>
              <w:pStyle w:val="TableContents"/>
              <w:bidi w:val="0"/>
              <w:spacing w:before="0" w:after="283"/>
              <w:jc w:val="left"/>
              <w:rPr>
                <w:sz w:val="4"/>
                <w:szCs w:val="4"/>
              </w:rPr>
            </w:pPr>
            <w:r>
              <w:rPr>
                <w:sz w:val="4"/>
                <w:szCs w:val="4"/>
              </w:rPr>
            </w:r>
          </w:p>
        </w:tc>
        <w:tc>
          <w:tcPr>
            <w:tcW w:w="3218" w:type="dxa"/>
            <w:gridSpan w:val="4"/>
            <w:tcBorders/>
            <w:vAlign w:val="center"/>
          </w:tcPr>
          <w:p>
            <w:pPr>
              <w:pStyle w:val="TableContents"/>
              <w:bidi w:val="0"/>
              <w:spacing w:before="0" w:after="283"/>
              <w:jc w:val="left"/>
              <w:rPr>
                <w:sz w:val="4"/>
                <w:szCs w:val="4"/>
              </w:rPr>
            </w:pPr>
            <w:r>
              <w:rPr>
                <w:sz w:val="4"/>
                <w:szCs w:val="4"/>
              </w:rPr>
            </w:r>
          </w:p>
        </w:tc>
      </w:tr>
      <w:tr>
        <w:trPr/>
        <w:tc>
          <w:tcPr>
            <w:tcW w:w="6987"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Class B Lender</w:t>
            </w:r>
          </w:p>
        </w:tc>
        <w:tc>
          <w:tcPr>
            <w:tcW w:w="219" w:type="dxa"/>
            <w:tcBorders/>
            <w:vAlign w:val="bottom"/>
          </w:tcPr>
          <w:p>
            <w:pPr>
              <w:pStyle w:val="TableContents"/>
              <w:bidi w:val="0"/>
              <w:spacing w:before="0" w:after="283"/>
              <w:jc w:val="left"/>
              <w:rPr/>
            </w:pPr>
            <w:r>
              <w:rPr/>
              <w:t>  </w:t>
            </w:r>
          </w:p>
        </w:tc>
        <w:tc>
          <w:tcPr>
            <w:tcW w:w="2937" w:type="dxa"/>
            <w:gridSpan w:val="2"/>
            <w:tcBorders>
              <w:bottom w:val="single" w:sz="8" w:space="0" w:color="000000"/>
            </w:tcBorders>
            <w:tcMar>
              <w:bottom w:w="28" w:type="dxa"/>
            </w:tcMar>
            <w:vAlign w:val="bottom"/>
          </w:tcPr>
          <w:p>
            <w:pPr>
              <w:pStyle w:val="TableContents"/>
              <w:bidi w:val="0"/>
              <w:spacing w:before="0" w:after="283"/>
              <w:jc w:val="center"/>
              <w:rPr/>
            </w:pPr>
            <w:r>
              <w:rPr/>
              <w:t>Class B Commitment</w:t>
            </w:r>
          </w:p>
        </w:tc>
        <w:tc>
          <w:tcPr>
            <w:tcW w:w="62" w:type="dxa"/>
            <w:tcBorders/>
            <w:vAlign w:val="bottom"/>
          </w:tcPr>
          <w:p>
            <w:pPr>
              <w:pStyle w:val="TableContents"/>
              <w:bidi w:val="0"/>
              <w:spacing w:before="0" w:after="283"/>
              <w:jc w:val="left"/>
              <w:rPr/>
            </w:pPr>
            <w:r>
              <w:rPr/>
              <w:t> </w:t>
            </w:r>
          </w:p>
        </w:tc>
      </w:tr>
      <w:tr>
        <w:trPr/>
        <w:tc>
          <w:tcPr>
            <w:tcW w:w="6987" w:type="dxa"/>
            <w:tcBorders/>
            <w:shd w:fill="CCEEFF" w:val="clear"/>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Lake Central Fund LP</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color w:val="0000FF"/>
                <w:u w:val="single"/>
                <w:bdr w:val="double" w:sz="2" w:space="1" w:color="000000"/>
              </w:rPr>
            </w:pPr>
            <w:r>
              <w:rPr>
                <w:color w:val="0000FF"/>
                <w:u w:val="single"/>
                <w:bdr w:val="double" w:sz="2" w:space="1" w:color="000000"/>
              </w:rPr>
              <w:t>$</w:t>
            </w:r>
          </w:p>
        </w:tc>
        <w:tc>
          <w:tcPr>
            <w:tcW w:w="2797" w:type="dxa"/>
            <w:tcBorders/>
            <w:shd w:fill="CCEEFF" w:val="clear"/>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30,000,000.00</w:t>
            </w:r>
          </w:p>
        </w:tc>
        <w:tc>
          <w:tcPr>
            <w:tcW w:w="62" w:type="dxa"/>
            <w:tcBorders/>
            <w:shd w:fill="CCEEFF" w:val="clear"/>
            <w:vAlign w:val="bottom"/>
          </w:tcPr>
          <w:p>
            <w:pPr>
              <w:pStyle w:val="TableContents"/>
              <w:bidi w:val="0"/>
              <w:spacing w:before="0" w:after="283"/>
              <w:jc w:val="left"/>
              <w:rPr/>
            </w:pPr>
            <w:r>
              <w:rPr/>
              <w:t> </w:t>
            </w:r>
          </w:p>
        </w:tc>
      </w:tr>
      <w:tr>
        <w:trPr/>
        <w:tc>
          <w:tcPr>
            <w:tcW w:w="6987" w:type="dxa"/>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Bank of America, N.A.</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color w:val="0000FF"/>
                <w:u w:val="single"/>
                <w:bdr w:val="double" w:sz="2" w:space="1" w:color="000000"/>
              </w:rPr>
            </w:pPr>
            <w:r>
              <w:rPr>
                <w:color w:val="0000FF"/>
                <w:u w:val="single"/>
                <w:bdr w:val="double" w:sz="2" w:space="1" w:color="000000"/>
              </w:rPr>
              <w:t>$</w:t>
            </w:r>
          </w:p>
        </w:tc>
        <w:tc>
          <w:tcPr>
            <w:tcW w:w="2797" w:type="dxa"/>
            <w:tcBorders/>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25,000,000.00</w:t>
            </w:r>
          </w:p>
        </w:tc>
        <w:tc>
          <w:tcPr>
            <w:tcW w:w="62" w:type="dxa"/>
            <w:tcBorders/>
            <w:vAlign w:val="bottom"/>
          </w:tcPr>
          <w:p>
            <w:pPr>
              <w:pStyle w:val="TableContents"/>
              <w:bidi w:val="0"/>
              <w:spacing w:before="0" w:after="283"/>
              <w:jc w:val="left"/>
              <w:rPr/>
            </w:pPr>
            <w:r>
              <w:rPr/>
              <w:t> </w:t>
            </w:r>
          </w:p>
        </w:tc>
      </w:tr>
      <w:tr>
        <w:trPr/>
        <w:tc>
          <w:tcPr>
            <w:tcW w:w="6987" w:type="dxa"/>
            <w:tcBorders/>
            <w:shd w:fill="CCEEFF" w:val="clear"/>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Massachusetts Mutual Life Insurance Company</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color w:val="0000FF"/>
                <w:u w:val="single"/>
                <w:bdr w:val="double" w:sz="2" w:space="1" w:color="000000"/>
              </w:rPr>
            </w:pPr>
            <w:r>
              <w:rPr>
                <w:color w:val="0000FF"/>
                <w:u w:val="single"/>
                <w:bdr w:val="double" w:sz="2" w:space="1" w:color="000000"/>
              </w:rPr>
              <w:t>$</w:t>
            </w:r>
          </w:p>
        </w:tc>
        <w:tc>
          <w:tcPr>
            <w:tcW w:w="2797" w:type="dxa"/>
            <w:tcBorders/>
            <w:shd w:fill="CCEEFF" w:val="clear"/>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22,686,567.16</w:t>
            </w:r>
          </w:p>
        </w:tc>
        <w:tc>
          <w:tcPr>
            <w:tcW w:w="62" w:type="dxa"/>
            <w:tcBorders/>
            <w:shd w:fill="CCEEFF" w:val="clear"/>
            <w:vAlign w:val="bottom"/>
          </w:tcPr>
          <w:p>
            <w:pPr>
              <w:pStyle w:val="TableContents"/>
              <w:bidi w:val="0"/>
              <w:spacing w:before="0" w:after="283"/>
              <w:jc w:val="left"/>
              <w:rPr/>
            </w:pPr>
            <w:r>
              <w:rPr/>
              <w:t> </w:t>
            </w:r>
          </w:p>
        </w:tc>
      </w:tr>
      <w:tr>
        <w:trPr/>
        <w:tc>
          <w:tcPr>
            <w:tcW w:w="6987" w:type="dxa"/>
            <w:tcBorders/>
          </w:tcPr>
          <w:p>
            <w:pPr>
              <w:pStyle w:val="TableContents"/>
              <w:bidi w:val="0"/>
              <w:spacing w:before="0" w:after="0"/>
              <w:jc w:val="left"/>
              <w:rPr>
                <w:rFonts w:ascii="Times New Roman" w:hAnsi="Times New Roman"/>
                <w:sz w:val="20"/>
              </w:rPr>
            </w:pPr>
            <w:r>
              <w:rPr>
                <w:rFonts w:ascii="Times New Roman" w:hAnsi="Times New Roman"/>
                <w:sz w:val="20"/>
              </w:rPr>
              <w:t>Centerbridge Credit CS, L.P</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2797" w:type="dxa"/>
            <w:tcBorders/>
            <w:vAlign w:val="bottom"/>
          </w:tcPr>
          <w:p>
            <w:pPr>
              <w:pStyle w:val="TableContents"/>
              <w:bidi w:val="0"/>
              <w:spacing w:before="0" w:after="283"/>
              <w:jc w:val="right"/>
              <w:rPr/>
            </w:pPr>
            <w:r>
              <w:rPr>
                <w:strike/>
                <w:color w:val="FF0000"/>
              </w:rPr>
              <w:t>60,471,879.44</w:t>
            </w:r>
            <w:r>
              <w:rPr>
                <w:color w:val="0000FF"/>
                <w:u w:val="single"/>
                <w:bdr w:val="double" w:sz="2" w:space="1" w:color="000000"/>
              </w:rPr>
              <w:t>15,734,646.43</w:t>
            </w:r>
          </w:p>
        </w:tc>
        <w:tc>
          <w:tcPr>
            <w:tcW w:w="62" w:type="dxa"/>
            <w:tcBorders/>
            <w:vAlign w:val="bottom"/>
          </w:tcPr>
          <w:p>
            <w:pPr>
              <w:pStyle w:val="TableContents"/>
              <w:bidi w:val="0"/>
              <w:spacing w:before="0" w:after="283"/>
              <w:jc w:val="left"/>
              <w:rPr/>
            </w:pPr>
            <w:r>
              <w:rPr/>
              <w:t> </w:t>
            </w:r>
          </w:p>
        </w:tc>
      </w:tr>
      <w:tr>
        <w:trPr/>
        <w:tc>
          <w:tcPr>
            <w:tcW w:w="69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trike/>
                <w:color w:val="008000"/>
                <w:sz w:val="20"/>
              </w:rPr>
              <w:t xml:space="preserve">Centerbridge Special Credit Partners IV – I </w:t>
            </w:r>
            <w:r>
              <w:rPr>
                <w:rFonts w:ascii="Times New Roman" w:hAnsi="Times New Roman"/>
                <w:strike/>
                <w:color w:val="FF0000"/>
                <w:sz w:val="20"/>
              </w:rPr>
              <w:t>Co-Invest</w:t>
            </w:r>
            <w:r>
              <w:rPr>
                <w:rFonts w:ascii="Times New Roman" w:hAnsi="Times New Roman"/>
                <w:color w:val="0000FF"/>
                <w:sz w:val="20"/>
                <w:u w:val="single"/>
                <w:bdr w:val="double" w:sz="2" w:space="1" w:color="000000"/>
              </w:rPr>
              <w:t>CB SA Fund</w:t>
            </w:r>
            <w:r>
              <w:rPr>
                <w:rFonts w:ascii="Times New Roman" w:hAnsi="Times New Roman"/>
                <w:sz w:val="20"/>
              </w:rPr>
              <w:t>, L.P.</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2797" w:type="dxa"/>
            <w:tcBorders/>
            <w:shd w:fill="CCEEFF" w:val="clear"/>
            <w:vAlign w:val="bottom"/>
          </w:tcPr>
          <w:p>
            <w:pPr>
              <w:pStyle w:val="TableContents"/>
              <w:bidi w:val="0"/>
              <w:spacing w:before="0" w:after="283"/>
              <w:jc w:val="right"/>
              <w:rPr/>
            </w:pPr>
            <w:r>
              <w:rPr>
                <w:strike/>
                <w:color w:val="FF0000"/>
              </w:rPr>
              <w:t>4,060,110.96</w:t>
            </w:r>
            <w:r>
              <w:rPr>
                <w:color w:val="0000FF"/>
                <w:u w:val="single"/>
                <w:bdr w:val="double" w:sz="2" w:space="1" w:color="000000"/>
              </w:rPr>
              <w:t>14,736,699.05</w:t>
            </w:r>
          </w:p>
        </w:tc>
        <w:tc>
          <w:tcPr>
            <w:tcW w:w="62" w:type="dxa"/>
            <w:tcBorders/>
            <w:shd w:fill="CCEEFF" w:val="clear"/>
            <w:vAlign w:val="bottom"/>
          </w:tcPr>
          <w:p>
            <w:pPr>
              <w:pStyle w:val="TableContents"/>
              <w:bidi w:val="0"/>
              <w:spacing w:before="0" w:after="283"/>
              <w:jc w:val="left"/>
              <w:rPr/>
            </w:pPr>
            <w:r>
              <w:rPr/>
              <w:t> </w:t>
            </w:r>
          </w:p>
        </w:tc>
      </w:tr>
      <w:tr>
        <w:trPr/>
        <w:tc>
          <w:tcPr>
            <w:tcW w:w="6987" w:type="dxa"/>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Metropolitan Life Insurance Company</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color w:val="0000FF"/>
                <w:u w:val="single"/>
                <w:bdr w:val="double" w:sz="2" w:space="1" w:color="000000"/>
              </w:rPr>
            </w:pPr>
            <w:r>
              <w:rPr>
                <w:color w:val="0000FF"/>
                <w:u w:val="single"/>
                <w:bdr w:val="double" w:sz="2" w:space="1" w:color="000000"/>
              </w:rPr>
              <w:t>$</w:t>
            </w:r>
          </w:p>
        </w:tc>
        <w:tc>
          <w:tcPr>
            <w:tcW w:w="2797" w:type="dxa"/>
            <w:tcBorders/>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10,000,000.00</w:t>
            </w:r>
          </w:p>
        </w:tc>
        <w:tc>
          <w:tcPr>
            <w:tcW w:w="62" w:type="dxa"/>
            <w:tcBorders/>
            <w:vAlign w:val="bottom"/>
          </w:tcPr>
          <w:p>
            <w:pPr>
              <w:pStyle w:val="TableContents"/>
              <w:bidi w:val="0"/>
              <w:spacing w:before="0" w:after="283"/>
              <w:jc w:val="left"/>
              <w:rPr/>
            </w:pPr>
            <w:r>
              <w:rPr/>
              <w:t> </w:t>
            </w:r>
          </w:p>
        </w:tc>
      </w:tr>
      <w:tr>
        <w:trPr/>
        <w:tc>
          <w:tcPr>
            <w:tcW w:w="69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trike/>
                <w:color w:val="FF0000"/>
                <w:sz w:val="20"/>
              </w:rPr>
              <w:t xml:space="preserve">CB NC </w:t>
            </w:r>
            <w:r>
              <w:rPr>
                <w:rFonts w:ascii="Times New Roman" w:hAnsi="Times New Roman"/>
                <w:color w:val="008000"/>
                <w:sz w:val="20"/>
                <w:u w:val="single"/>
                <w:bdr w:val="double" w:sz="2" w:space="1" w:color="000000"/>
              </w:rPr>
              <w:t xml:space="preserve">Centerbridge Special Credit Partners IV – I </w:t>
            </w:r>
            <w:r>
              <w:rPr>
                <w:rFonts w:ascii="Times New Roman" w:hAnsi="Times New Roman"/>
                <w:sz w:val="20"/>
              </w:rPr>
              <w:t>Co-Invest, L.P.</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2797" w:type="dxa"/>
            <w:tcBorders/>
            <w:shd w:fill="CCEEFF" w:val="clear"/>
            <w:vAlign w:val="bottom"/>
          </w:tcPr>
          <w:p>
            <w:pPr>
              <w:pStyle w:val="TableContents"/>
              <w:bidi w:val="0"/>
              <w:spacing w:before="0" w:after="283"/>
              <w:jc w:val="right"/>
              <w:rPr/>
            </w:pPr>
            <w:r>
              <w:rPr>
                <w:strike/>
                <w:color w:val="FF0000"/>
              </w:rPr>
              <w:t>2,255,617.2</w:t>
            </w:r>
            <w:r>
              <w:rPr>
                <w:color w:val="0000FF"/>
                <w:u w:val="single"/>
                <w:bdr w:val="double" w:sz="2" w:space="1" w:color="000000"/>
              </w:rPr>
              <w:t>1,184,199.01</w:t>
            </w:r>
          </w:p>
        </w:tc>
        <w:tc>
          <w:tcPr>
            <w:tcW w:w="62" w:type="dxa"/>
            <w:tcBorders/>
            <w:shd w:fill="CCEEFF" w:val="clear"/>
            <w:vAlign w:val="bottom"/>
          </w:tcPr>
          <w:p>
            <w:pPr>
              <w:pStyle w:val="TableContents"/>
              <w:bidi w:val="0"/>
              <w:spacing w:before="0" w:after="283"/>
              <w:jc w:val="left"/>
              <w:rPr/>
            </w:pPr>
            <w:r>
              <w:rPr/>
              <w:t> </w:t>
            </w:r>
          </w:p>
        </w:tc>
      </w:tr>
      <w:tr>
        <w:trPr/>
        <w:tc>
          <w:tcPr>
            <w:tcW w:w="69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CB </w:t>
            </w:r>
            <w:r>
              <w:rPr>
                <w:rFonts w:ascii="Times New Roman" w:hAnsi="Times New Roman"/>
                <w:strike/>
                <w:color w:val="FF0000"/>
                <w:sz w:val="20"/>
              </w:rPr>
              <w:t>SA Fund</w:t>
            </w:r>
            <w:r>
              <w:rPr>
                <w:rFonts w:ascii="Times New Roman" w:hAnsi="Times New Roman"/>
                <w:color w:val="0000FF"/>
                <w:sz w:val="20"/>
                <w:u w:val="single"/>
                <w:bdr w:val="double" w:sz="2" w:space="1" w:color="000000"/>
              </w:rPr>
              <w:t>NC Co-Invest</w:t>
            </w:r>
            <w:r>
              <w:rPr>
                <w:rFonts w:ascii="Times New Roman" w:hAnsi="Times New Roman"/>
                <w:sz w:val="20"/>
              </w:rPr>
              <w:t>, L.P.</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2797" w:type="dxa"/>
            <w:tcBorders/>
            <w:vAlign w:val="bottom"/>
          </w:tcPr>
          <w:p>
            <w:pPr>
              <w:pStyle w:val="TableContents"/>
              <w:bidi w:val="0"/>
              <w:spacing w:before="0" w:after="283"/>
              <w:jc w:val="right"/>
              <w:rPr/>
            </w:pPr>
            <w:r>
              <w:rPr>
                <w:strike/>
                <w:color w:val="FF0000"/>
              </w:rPr>
              <w:t>50,525,825.24</w:t>
            </w:r>
            <w:r>
              <w:rPr>
                <w:color w:val="0000FF"/>
                <w:u w:val="single"/>
                <w:bdr w:val="double" w:sz="2" w:space="1" w:color="000000"/>
              </w:rPr>
              <w:t>657,888.35</w:t>
            </w:r>
          </w:p>
        </w:tc>
        <w:tc>
          <w:tcPr>
            <w:tcW w:w="62" w:type="dxa"/>
            <w:tcBorders/>
            <w:vAlign w:val="bottom"/>
          </w:tcPr>
          <w:p>
            <w:pPr>
              <w:pStyle w:val="TableContents"/>
              <w:bidi w:val="0"/>
              <w:spacing w:before="0" w:after="283"/>
              <w:jc w:val="left"/>
              <w:rPr/>
            </w:pPr>
            <w:r>
              <w:rPr/>
              <w:t> </w:t>
            </w:r>
          </w:p>
        </w:tc>
      </w:tr>
      <w:tr>
        <w:trPr/>
        <w:tc>
          <w:tcPr>
            <w:tcW w:w="6987" w:type="dxa"/>
            <w:tcBorders/>
            <w:shd w:fill="CCEEFF" w:val="clear"/>
          </w:tcPr>
          <w:p>
            <w:pPr>
              <w:pStyle w:val="TableContents"/>
              <w:bidi w:val="0"/>
              <w:spacing w:before="0" w:after="0"/>
              <w:jc w:val="left"/>
              <w:rPr>
                <w:rFonts w:ascii="Times New Roman" w:hAnsi="Times New Roman"/>
                <w:strike/>
                <w:color w:val="FF0000"/>
                <w:sz w:val="20"/>
              </w:rPr>
            </w:pPr>
            <w:r>
              <w:rPr>
                <w:rFonts w:ascii="Times New Roman" w:hAnsi="Times New Roman"/>
                <w:strike/>
                <w:color w:val="FF0000"/>
                <w:sz w:val="20"/>
              </w:rPr>
              <w:t>Massachusetts Mutual Life Insurance Company</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trike/>
                <w:color w:val="FF0000"/>
              </w:rPr>
            </w:pPr>
            <w:r>
              <w:rPr>
                <w:strike/>
                <w:color w:val="FF0000"/>
              </w:rPr>
              <w:t>$</w:t>
            </w:r>
          </w:p>
        </w:tc>
        <w:tc>
          <w:tcPr>
            <w:tcW w:w="2797" w:type="dxa"/>
            <w:tcBorders/>
            <w:shd w:fill="CCEEFF" w:val="clear"/>
            <w:vAlign w:val="bottom"/>
          </w:tcPr>
          <w:p>
            <w:pPr>
              <w:pStyle w:val="TableContents"/>
              <w:bidi w:val="0"/>
              <w:spacing w:before="0" w:after="283"/>
              <w:jc w:val="right"/>
              <w:rPr>
                <w:strike/>
                <w:color w:val="FF0000"/>
              </w:rPr>
            </w:pPr>
            <w:r>
              <w:rPr>
                <w:strike/>
                <w:color w:val="FF0000"/>
              </w:rPr>
              <w:t>2,686,567.16</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II </w:t>
      </w:r>
    </w:p>
    <w:p>
      <w:pPr>
        <w:pStyle w:val="TextBody"/>
        <w:bidi w:val="0"/>
        <w:spacing w:before="0" w:after="0"/>
        <w:jc w:val="center"/>
        <w:rPr>
          <w:rFonts w:ascii="Times New Roman" w:hAnsi="Times New Roman"/>
          <w:b/>
          <w:sz w:val="20"/>
        </w:rPr>
      </w:pPr>
      <w:r>
        <w:rPr>
          <w:rFonts w:ascii="Times New Roman" w:hAnsi="Times New Roman"/>
          <w:b/>
          <w:sz w:val="20"/>
        </w:rPr>
        <w:t xml:space="preserve">Account Details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39"/>
        <w:gridCol w:w="1640"/>
        <w:gridCol w:w="331"/>
        <w:gridCol w:w="2434"/>
        <w:gridCol w:w="61"/>
      </w:tblGrid>
      <w:tr>
        <w:trPr/>
        <w:tc>
          <w:tcPr>
            <w:tcW w:w="5739" w:type="dxa"/>
            <w:tcBorders/>
            <w:vAlign w:val="center"/>
          </w:tcPr>
          <w:p>
            <w:pPr>
              <w:pStyle w:val="TableContents"/>
              <w:bidi w:val="0"/>
              <w:spacing w:before="0" w:after="283"/>
              <w:jc w:val="left"/>
              <w:rPr>
                <w:sz w:val="4"/>
                <w:szCs w:val="4"/>
              </w:rPr>
            </w:pPr>
            <w:r>
              <w:rPr>
                <w:sz w:val="4"/>
                <w:szCs w:val="4"/>
              </w:rPr>
            </w:r>
          </w:p>
        </w:tc>
        <w:tc>
          <w:tcPr>
            <w:tcW w:w="1640" w:type="dxa"/>
            <w:tcBorders/>
            <w:vAlign w:val="bottom"/>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10144" w:type="dxa"/>
            <w:gridSpan w:val="4"/>
            <w:tcBorders/>
            <w:vAlign w:val="bottom"/>
          </w:tcPr>
          <w:p>
            <w:pPr>
              <w:pStyle w:val="TableContents"/>
              <w:bidi w:val="0"/>
              <w:spacing w:before="0" w:after="283"/>
              <w:jc w:val="left"/>
              <w:rPr>
                <w:b/>
              </w:rPr>
            </w:pPr>
            <w:r>
              <w:rPr>
                <w:b/>
                <w:u w:val="single"/>
              </w:rPr>
              <w:t>Account Bank</w:t>
            </w:r>
            <w:r>
              <w:rPr>
                <w:b/>
              </w:rPr>
              <w:t>: Citibank, N.A</w:t>
            </w:r>
          </w:p>
        </w:tc>
        <w:tc>
          <w:tcPr>
            <w:tcW w:w="61" w:type="dxa"/>
            <w:tcBorders/>
            <w:vAlign w:val="bottom"/>
          </w:tcPr>
          <w:p>
            <w:pPr>
              <w:pStyle w:val="TableContents"/>
              <w:bidi w:val="0"/>
              <w:spacing w:before="0" w:after="283"/>
              <w:jc w:val="left"/>
              <w:rPr/>
            </w:pPr>
            <w:r>
              <w:rPr/>
              <w:t> </w:t>
            </w:r>
          </w:p>
        </w:tc>
      </w:tr>
      <w:tr>
        <w:trPr>
          <w:trHeight w:val="240" w:hRule="atLeast"/>
        </w:trPr>
        <w:tc>
          <w:tcPr>
            <w:tcW w:w="5739" w:type="dxa"/>
            <w:tcBorders/>
            <w:vAlign w:val="center"/>
          </w:tcPr>
          <w:p>
            <w:pPr>
              <w:pStyle w:val="TableContents"/>
              <w:bidi w:val="0"/>
              <w:spacing w:before="0" w:after="283"/>
              <w:jc w:val="left"/>
              <w:rPr>
                <w:sz w:val="4"/>
                <w:szCs w:val="4"/>
              </w:rPr>
            </w:pPr>
            <w:r>
              <w:rPr>
                <w:sz w:val="4"/>
                <w:szCs w:val="4"/>
              </w:rPr>
            </w:r>
          </w:p>
        </w:tc>
        <w:tc>
          <w:tcPr>
            <w:tcW w:w="4466" w:type="dxa"/>
            <w:gridSpan w:val="4"/>
            <w:tcBorders/>
            <w:vAlign w:val="center"/>
          </w:tcPr>
          <w:p>
            <w:pPr>
              <w:pStyle w:val="TableContents"/>
              <w:bidi w:val="0"/>
              <w:spacing w:before="0" w:after="283"/>
              <w:jc w:val="left"/>
              <w:rPr>
                <w:sz w:val="4"/>
                <w:szCs w:val="4"/>
              </w:rPr>
            </w:pPr>
            <w:r>
              <w:rPr>
                <w:sz w:val="4"/>
                <w:szCs w:val="4"/>
              </w:rPr>
            </w:r>
          </w:p>
        </w:tc>
      </w:tr>
      <w:tr>
        <w:trPr/>
        <w:tc>
          <w:tcPr>
            <w:tcW w:w="5739" w:type="dxa"/>
            <w:tcBorders/>
            <w:vAlign w:val="bottom"/>
          </w:tcPr>
          <w:p>
            <w:pPr>
              <w:pStyle w:val="TableContents"/>
              <w:pBdr>
                <w:bottom w:val="single" w:sz="8" w:space="1" w:color="000000"/>
              </w:pBdr>
              <w:bidi w:val="0"/>
              <w:spacing w:before="0" w:after="0"/>
              <w:jc w:val="left"/>
              <w:rPr>
                <w:rFonts w:ascii="Times New Roman" w:hAnsi="Times New Roman"/>
                <w:sz w:val="20"/>
              </w:rPr>
            </w:pPr>
            <w:r>
              <w:rPr>
                <w:rFonts w:ascii="Times New Roman" w:hAnsi="Times New Roman"/>
                <w:sz w:val="20"/>
              </w:rPr>
              <w:t>Collection Account Number</w:t>
            </w:r>
          </w:p>
        </w:tc>
        <w:tc>
          <w:tcPr>
            <w:tcW w:w="1640" w:type="dxa"/>
            <w:tcBorders/>
            <w:vAlign w:val="bottom"/>
          </w:tcPr>
          <w:p>
            <w:pPr>
              <w:pStyle w:val="TableContents"/>
              <w:bidi w:val="0"/>
              <w:spacing w:before="0" w:after="283"/>
              <w:jc w:val="left"/>
              <w:rPr/>
            </w:pPr>
            <w:r>
              <w:rPr/>
              <w:t>  </w:t>
            </w:r>
          </w:p>
        </w:tc>
        <w:tc>
          <w:tcPr>
            <w:tcW w:w="2765" w:type="dxa"/>
            <w:gridSpan w:val="2"/>
            <w:tcBorders>
              <w:bottom w:val="single" w:sz="8" w:space="0" w:color="000000"/>
            </w:tcBorders>
            <w:tcMar>
              <w:bottom w:w="28" w:type="dxa"/>
            </w:tcMar>
            <w:vAlign w:val="bottom"/>
          </w:tcPr>
          <w:p>
            <w:pPr>
              <w:pStyle w:val="TableContents"/>
              <w:bidi w:val="0"/>
              <w:spacing w:before="0" w:after="283"/>
              <w:jc w:val="center"/>
              <w:rPr/>
            </w:pPr>
            <w:r>
              <w:rPr/>
              <w:t>Associated Lock-Box (if any)</w:t>
            </w:r>
          </w:p>
        </w:tc>
        <w:tc>
          <w:tcPr>
            <w:tcW w:w="61" w:type="dxa"/>
            <w:tcBorders/>
            <w:vAlign w:val="bottom"/>
          </w:tcPr>
          <w:p>
            <w:pPr>
              <w:pStyle w:val="TableContents"/>
              <w:bidi w:val="0"/>
              <w:spacing w:before="0" w:after="283"/>
              <w:jc w:val="left"/>
              <w:rPr/>
            </w:pPr>
            <w:r>
              <w:rPr/>
              <w:t> </w:t>
            </w:r>
          </w:p>
        </w:tc>
      </w:tr>
      <w:tr>
        <w:trPr/>
        <w:tc>
          <w:tcPr>
            <w:tcW w:w="57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40788357</w:t>
            </w:r>
          </w:p>
          <w:p>
            <w:pPr>
              <w:pStyle w:val="TableContents"/>
              <w:bidi w:val="0"/>
              <w:spacing w:before="0" w:after="0"/>
              <w:jc w:val="left"/>
              <w:rPr>
                <w:rFonts w:ascii="Times New Roman" w:hAnsi="Times New Roman"/>
                <w:sz w:val="20"/>
              </w:rPr>
            </w:pPr>
            <w:r>
              <w:rPr>
                <w:rFonts w:ascii="Times New Roman" w:hAnsi="Times New Roman"/>
                <w:sz w:val="20"/>
              </w:rPr>
              <w:t>30502298</w:t>
            </w:r>
          </w:p>
          <w:p>
            <w:pPr>
              <w:pStyle w:val="TableContents"/>
              <w:bidi w:val="0"/>
              <w:spacing w:before="0" w:after="20"/>
              <w:jc w:val="left"/>
              <w:rPr>
                <w:rFonts w:ascii="Times New Roman" w:hAnsi="Times New Roman"/>
                <w:sz w:val="20"/>
              </w:rPr>
            </w:pPr>
            <w:r>
              <w:rPr>
                <w:rFonts w:ascii="Times New Roman" w:hAnsi="Times New Roman"/>
                <w:sz w:val="20"/>
              </w:rPr>
              <w:t>31291496</w:t>
            </w:r>
          </w:p>
        </w:tc>
        <w:tc>
          <w:tcPr>
            <w:tcW w:w="1640"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2434" w:type="dxa"/>
            <w:tcBorders/>
            <w:shd w:fill="CCEEFF" w:val="clear"/>
            <w:vAlign w:val="bottom"/>
          </w:tcPr>
          <w:p>
            <w:pPr>
              <w:pStyle w:val="TableContents"/>
              <w:bidi w:val="0"/>
              <w:spacing w:before="0" w:after="283"/>
              <w:jc w:val="right"/>
              <w:rPr/>
            </w:pPr>
            <w:r>
              <w:rPr/>
              <w:t>N/A</w:t>
            </w:r>
          </w:p>
        </w:tc>
        <w:tc>
          <w:tcPr>
            <w:tcW w:w="61"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71"/>
        <w:gridCol w:w="1094"/>
        <w:gridCol w:w="296"/>
        <w:gridCol w:w="2481"/>
        <w:gridCol w:w="63"/>
      </w:tblGrid>
      <w:tr>
        <w:trPr/>
        <w:tc>
          <w:tcPr>
            <w:tcW w:w="6271" w:type="dxa"/>
            <w:tcBorders/>
            <w:vAlign w:val="center"/>
          </w:tcPr>
          <w:p>
            <w:pPr>
              <w:pStyle w:val="TableContents"/>
              <w:bidi w:val="0"/>
              <w:spacing w:before="0" w:after="283"/>
              <w:jc w:val="left"/>
              <w:rPr>
                <w:sz w:val="4"/>
                <w:szCs w:val="4"/>
              </w:rPr>
            </w:pPr>
            <w:r>
              <w:rPr>
                <w:sz w:val="4"/>
                <w:szCs w:val="4"/>
              </w:rPr>
            </w:r>
          </w:p>
        </w:tc>
        <w:tc>
          <w:tcPr>
            <w:tcW w:w="1094" w:type="dxa"/>
            <w:tcBorders/>
            <w:vAlign w:val="bottom"/>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0142" w:type="dxa"/>
            <w:gridSpan w:val="4"/>
            <w:tcBorders/>
            <w:vAlign w:val="bottom"/>
          </w:tcPr>
          <w:p>
            <w:pPr>
              <w:pStyle w:val="TableContents"/>
              <w:bidi w:val="0"/>
              <w:spacing w:before="0" w:after="283"/>
              <w:jc w:val="left"/>
              <w:rPr>
                <w:b/>
              </w:rPr>
            </w:pPr>
            <w:r>
              <w:rPr>
                <w:b/>
                <w:u w:val="single"/>
              </w:rPr>
              <w:t>Account Bank</w:t>
            </w:r>
            <w:r>
              <w:rPr>
                <w:b/>
              </w:rPr>
              <w:t>: Bank of America, N.A</w:t>
            </w:r>
          </w:p>
        </w:tc>
        <w:tc>
          <w:tcPr>
            <w:tcW w:w="63" w:type="dxa"/>
            <w:tcBorders/>
            <w:vAlign w:val="bottom"/>
          </w:tcPr>
          <w:p>
            <w:pPr>
              <w:pStyle w:val="TableContents"/>
              <w:bidi w:val="0"/>
              <w:spacing w:before="0" w:after="283"/>
              <w:jc w:val="left"/>
              <w:rPr/>
            </w:pPr>
            <w:r>
              <w:rPr/>
              <w:t> </w:t>
            </w:r>
          </w:p>
        </w:tc>
      </w:tr>
      <w:tr>
        <w:trPr>
          <w:trHeight w:val="240" w:hRule="atLeast"/>
        </w:trPr>
        <w:tc>
          <w:tcPr>
            <w:tcW w:w="6271" w:type="dxa"/>
            <w:tcBorders/>
            <w:vAlign w:val="center"/>
          </w:tcPr>
          <w:p>
            <w:pPr>
              <w:pStyle w:val="TableContents"/>
              <w:bidi w:val="0"/>
              <w:spacing w:before="0" w:after="283"/>
              <w:jc w:val="left"/>
              <w:rPr>
                <w:sz w:val="4"/>
                <w:szCs w:val="4"/>
              </w:rPr>
            </w:pPr>
            <w:r>
              <w:rPr>
                <w:sz w:val="4"/>
                <w:szCs w:val="4"/>
              </w:rPr>
            </w:r>
          </w:p>
        </w:tc>
        <w:tc>
          <w:tcPr>
            <w:tcW w:w="3934" w:type="dxa"/>
            <w:gridSpan w:val="4"/>
            <w:tcBorders/>
            <w:vAlign w:val="center"/>
          </w:tcPr>
          <w:p>
            <w:pPr>
              <w:pStyle w:val="TableContents"/>
              <w:bidi w:val="0"/>
              <w:spacing w:before="0" w:after="283"/>
              <w:jc w:val="left"/>
              <w:rPr>
                <w:sz w:val="4"/>
                <w:szCs w:val="4"/>
              </w:rPr>
            </w:pPr>
            <w:r>
              <w:rPr>
                <w:sz w:val="4"/>
                <w:szCs w:val="4"/>
              </w:rPr>
            </w:r>
          </w:p>
        </w:tc>
      </w:tr>
      <w:tr>
        <w:trPr/>
        <w:tc>
          <w:tcPr>
            <w:tcW w:w="6271" w:type="dxa"/>
            <w:tcBorders/>
            <w:vAlign w:val="bottom"/>
          </w:tcPr>
          <w:p>
            <w:pPr>
              <w:pStyle w:val="TableContents"/>
              <w:pBdr>
                <w:bottom w:val="single" w:sz="8" w:space="1" w:color="000000"/>
              </w:pBdr>
              <w:bidi w:val="0"/>
              <w:spacing w:before="0" w:after="0"/>
              <w:jc w:val="left"/>
              <w:rPr>
                <w:rFonts w:ascii="Times New Roman" w:hAnsi="Times New Roman"/>
                <w:sz w:val="20"/>
              </w:rPr>
            </w:pPr>
            <w:r>
              <w:rPr>
                <w:rFonts w:ascii="Times New Roman" w:hAnsi="Times New Roman"/>
                <w:sz w:val="20"/>
              </w:rPr>
              <w:t>Collection Account Number</w:t>
            </w:r>
          </w:p>
        </w:tc>
        <w:tc>
          <w:tcPr>
            <w:tcW w:w="1094" w:type="dxa"/>
            <w:tcBorders/>
            <w:vAlign w:val="bottom"/>
          </w:tcPr>
          <w:p>
            <w:pPr>
              <w:pStyle w:val="TableContents"/>
              <w:bidi w:val="0"/>
              <w:spacing w:before="0" w:after="283"/>
              <w:jc w:val="left"/>
              <w:rPr/>
            </w:pPr>
            <w:r>
              <w:rPr/>
              <w:t>  </w:t>
            </w:r>
          </w:p>
        </w:tc>
        <w:tc>
          <w:tcPr>
            <w:tcW w:w="2777" w:type="dxa"/>
            <w:gridSpan w:val="2"/>
            <w:tcBorders>
              <w:bottom w:val="single" w:sz="8" w:space="0" w:color="000000"/>
            </w:tcBorders>
            <w:tcMar>
              <w:bottom w:w="28" w:type="dxa"/>
            </w:tcMar>
            <w:vAlign w:val="bottom"/>
          </w:tcPr>
          <w:p>
            <w:pPr>
              <w:pStyle w:val="TableContents"/>
              <w:bidi w:val="0"/>
              <w:spacing w:before="0" w:after="283"/>
              <w:jc w:val="center"/>
              <w:rPr/>
            </w:pPr>
            <w:r>
              <w:rPr/>
              <w:t>Associated Lock-Box (if any)</w:t>
            </w:r>
          </w:p>
        </w:tc>
        <w:tc>
          <w:tcPr>
            <w:tcW w:w="63" w:type="dxa"/>
            <w:tcBorders/>
            <w:vAlign w:val="bottom"/>
          </w:tcPr>
          <w:p>
            <w:pPr>
              <w:pStyle w:val="TableContents"/>
              <w:bidi w:val="0"/>
              <w:spacing w:before="0" w:after="283"/>
              <w:jc w:val="left"/>
              <w:rPr/>
            </w:pPr>
            <w:r>
              <w:rPr/>
              <w:t> </w:t>
            </w:r>
          </w:p>
        </w:tc>
      </w:tr>
      <w:tr>
        <w:trPr/>
        <w:tc>
          <w:tcPr>
            <w:tcW w:w="62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3751622514</w:t>
            </w:r>
          </w:p>
          <w:p>
            <w:pPr>
              <w:pStyle w:val="TableContents"/>
              <w:bidi w:val="0"/>
              <w:spacing w:before="0" w:after="0"/>
              <w:jc w:val="left"/>
              <w:rPr>
                <w:rFonts w:ascii="Times New Roman" w:hAnsi="Times New Roman"/>
                <w:sz w:val="20"/>
              </w:rPr>
            </w:pPr>
            <w:r>
              <w:rPr>
                <w:rFonts w:ascii="Times New Roman" w:hAnsi="Times New Roman"/>
                <w:strike/>
                <w:color w:val="FF0000"/>
                <w:sz w:val="20"/>
              </w:rPr>
              <w:t>00835136036</w:t>
            </w:r>
            <w:r>
              <w:rPr>
                <w:rFonts w:ascii="Times New Roman" w:hAnsi="Times New Roman"/>
                <w:color w:val="0000FF"/>
                <w:sz w:val="20"/>
                <w:u w:val="single"/>
                <w:bdr w:val="double" w:sz="2" w:space="1" w:color="000000"/>
              </w:rPr>
              <w:t xml:space="preserve">600835136036 </w:t>
            </w:r>
          </w:p>
          <w:p>
            <w:pPr>
              <w:pStyle w:val="TableContents"/>
              <w:bidi w:val="0"/>
              <w:spacing w:before="0" w:after="20"/>
              <w:jc w:val="left"/>
              <w:rPr>
                <w:rFonts w:ascii="Times New Roman" w:hAnsi="Times New Roman"/>
                <w:sz w:val="20"/>
              </w:rPr>
            </w:pPr>
            <w:r>
              <w:rPr>
                <w:rFonts w:ascii="Times New Roman" w:hAnsi="Times New Roman"/>
                <w:sz w:val="20"/>
              </w:rPr>
              <w:t>600835136060</w:t>
            </w:r>
          </w:p>
        </w:tc>
        <w:tc>
          <w:tcPr>
            <w:tcW w:w="1094"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2481" w:type="dxa"/>
            <w:tcBorders/>
            <w:shd w:fill="CCEEFF" w:val="clear"/>
            <w:vAlign w:val="bottom"/>
          </w:tcPr>
          <w:p>
            <w:pPr>
              <w:pStyle w:val="TableContents"/>
              <w:bidi w:val="0"/>
              <w:spacing w:before="0" w:after="283"/>
              <w:jc w:val="right"/>
              <w:rPr/>
            </w:pPr>
            <w:r>
              <w:rPr/>
              <w:t>7285</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39"/>
        <w:gridCol w:w="1640"/>
        <w:gridCol w:w="331"/>
        <w:gridCol w:w="2434"/>
        <w:gridCol w:w="61"/>
      </w:tblGrid>
      <w:tr>
        <w:trPr/>
        <w:tc>
          <w:tcPr>
            <w:tcW w:w="5739" w:type="dxa"/>
            <w:tcBorders/>
            <w:vAlign w:val="center"/>
          </w:tcPr>
          <w:p>
            <w:pPr>
              <w:pStyle w:val="TableContents"/>
              <w:bidi w:val="0"/>
              <w:spacing w:before="0" w:after="283"/>
              <w:jc w:val="left"/>
              <w:rPr>
                <w:sz w:val="4"/>
                <w:szCs w:val="4"/>
              </w:rPr>
            </w:pPr>
            <w:r>
              <w:rPr>
                <w:sz w:val="4"/>
                <w:szCs w:val="4"/>
              </w:rPr>
            </w:r>
          </w:p>
        </w:tc>
        <w:tc>
          <w:tcPr>
            <w:tcW w:w="1640" w:type="dxa"/>
            <w:tcBorders/>
            <w:vAlign w:val="bottom"/>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10144" w:type="dxa"/>
            <w:gridSpan w:val="4"/>
            <w:tcBorders/>
            <w:vAlign w:val="bottom"/>
          </w:tcPr>
          <w:p>
            <w:pPr>
              <w:pStyle w:val="TableContents"/>
              <w:bidi w:val="0"/>
              <w:spacing w:before="0" w:after="283"/>
              <w:jc w:val="left"/>
              <w:rPr>
                <w:b/>
              </w:rPr>
            </w:pPr>
            <w:r>
              <w:rPr>
                <w:b/>
                <w:u w:val="single"/>
              </w:rPr>
              <w:t>Account Bank</w:t>
            </w:r>
            <w:r>
              <w:rPr>
                <w:b/>
              </w:rPr>
              <w:t>: US Bank</w:t>
            </w:r>
          </w:p>
        </w:tc>
        <w:tc>
          <w:tcPr>
            <w:tcW w:w="61" w:type="dxa"/>
            <w:tcBorders/>
            <w:vAlign w:val="bottom"/>
          </w:tcPr>
          <w:p>
            <w:pPr>
              <w:pStyle w:val="TableContents"/>
              <w:bidi w:val="0"/>
              <w:spacing w:before="0" w:after="283"/>
              <w:jc w:val="left"/>
              <w:rPr/>
            </w:pPr>
            <w:r>
              <w:rPr/>
              <w:t> </w:t>
            </w:r>
          </w:p>
        </w:tc>
      </w:tr>
      <w:tr>
        <w:trPr>
          <w:trHeight w:val="240" w:hRule="atLeast"/>
        </w:trPr>
        <w:tc>
          <w:tcPr>
            <w:tcW w:w="5739" w:type="dxa"/>
            <w:tcBorders/>
            <w:vAlign w:val="center"/>
          </w:tcPr>
          <w:p>
            <w:pPr>
              <w:pStyle w:val="TableContents"/>
              <w:bidi w:val="0"/>
              <w:spacing w:before="0" w:after="283"/>
              <w:jc w:val="left"/>
              <w:rPr>
                <w:sz w:val="4"/>
                <w:szCs w:val="4"/>
              </w:rPr>
            </w:pPr>
            <w:r>
              <w:rPr>
                <w:sz w:val="4"/>
                <w:szCs w:val="4"/>
              </w:rPr>
            </w:r>
          </w:p>
        </w:tc>
        <w:tc>
          <w:tcPr>
            <w:tcW w:w="4466" w:type="dxa"/>
            <w:gridSpan w:val="4"/>
            <w:tcBorders/>
            <w:vAlign w:val="center"/>
          </w:tcPr>
          <w:p>
            <w:pPr>
              <w:pStyle w:val="TableContents"/>
              <w:bidi w:val="0"/>
              <w:spacing w:before="0" w:after="283"/>
              <w:jc w:val="left"/>
              <w:rPr>
                <w:sz w:val="4"/>
                <w:szCs w:val="4"/>
              </w:rPr>
            </w:pPr>
            <w:r>
              <w:rPr>
                <w:sz w:val="4"/>
                <w:szCs w:val="4"/>
              </w:rPr>
            </w:r>
          </w:p>
        </w:tc>
      </w:tr>
      <w:tr>
        <w:trPr/>
        <w:tc>
          <w:tcPr>
            <w:tcW w:w="5739" w:type="dxa"/>
            <w:tcBorders/>
            <w:vAlign w:val="bottom"/>
          </w:tcPr>
          <w:p>
            <w:pPr>
              <w:pStyle w:val="TableContents"/>
              <w:pBdr>
                <w:bottom w:val="single" w:sz="8" w:space="1" w:color="000000"/>
              </w:pBdr>
              <w:bidi w:val="0"/>
              <w:spacing w:before="0" w:after="0"/>
              <w:jc w:val="left"/>
              <w:rPr>
                <w:rFonts w:ascii="Times New Roman" w:hAnsi="Times New Roman"/>
                <w:sz w:val="20"/>
              </w:rPr>
            </w:pPr>
            <w:r>
              <w:rPr>
                <w:rFonts w:ascii="Times New Roman" w:hAnsi="Times New Roman"/>
                <w:sz w:val="20"/>
              </w:rPr>
              <w:t>Collection Account Number</w:t>
            </w:r>
          </w:p>
        </w:tc>
        <w:tc>
          <w:tcPr>
            <w:tcW w:w="1640" w:type="dxa"/>
            <w:tcBorders/>
            <w:vAlign w:val="bottom"/>
          </w:tcPr>
          <w:p>
            <w:pPr>
              <w:pStyle w:val="TableContents"/>
              <w:bidi w:val="0"/>
              <w:spacing w:before="0" w:after="283"/>
              <w:jc w:val="left"/>
              <w:rPr/>
            </w:pPr>
            <w:r>
              <w:rPr/>
              <w:t>  </w:t>
            </w:r>
          </w:p>
        </w:tc>
        <w:tc>
          <w:tcPr>
            <w:tcW w:w="2765" w:type="dxa"/>
            <w:gridSpan w:val="2"/>
            <w:tcBorders>
              <w:bottom w:val="single" w:sz="8" w:space="0" w:color="000000"/>
            </w:tcBorders>
            <w:tcMar>
              <w:bottom w:w="28" w:type="dxa"/>
            </w:tcMar>
            <w:vAlign w:val="bottom"/>
          </w:tcPr>
          <w:p>
            <w:pPr>
              <w:pStyle w:val="TableContents"/>
              <w:bidi w:val="0"/>
              <w:spacing w:before="0" w:after="283"/>
              <w:jc w:val="center"/>
              <w:rPr/>
            </w:pPr>
            <w:r>
              <w:rPr/>
              <w:t>Associated Lock-Box (if any)</w:t>
            </w:r>
          </w:p>
        </w:tc>
        <w:tc>
          <w:tcPr>
            <w:tcW w:w="61" w:type="dxa"/>
            <w:tcBorders/>
            <w:vAlign w:val="bottom"/>
          </w:tcPr>
          <w:p>
            <w:pPr>
              <w:pStyle w:val="TableContents"/>
              <w:bidi w:val="0"/>
              <w:spacing w:before="0" w:after="283"/>
              <w:jc w:val="left"/>
              <w:rPr/>
            </w:pPr>
            <w:r>
              <w:rPr/>
              <w:t> </w:t>
            </w:r>
          </w:p>
        </w:tc>
      </w:tr>
      <w:tr>
        <w:trPr/>
        <w:tc>
          <w:tcPr>
            <w:tcW w:w="57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130122832582</w:t>
            </w:r>
          </w:p>
          <w:p>
            <w:pPr>
              <w:pStyle w:val="TableContents"/>
              <w:bidi w:val="0"/>
              <w:spacing w:before="0" w:after="20"/>
              <w:jc w:val="left"/>
              <w:rPr>
                <w:rFonts w:ascii="Times New Roman" w:hAnsi="Times New Roman"/>
                <w:sz w:val="20"/>
              </w:rPr>
            </w:pPr>
            <w:r>
              <w:rPr>
                <w:rFonts w:ascii="Times New Roman" w:hAnsi="Times New Roman"/>
                <w:sz w:val="20"/>
              </w:rPr>
              <w:t>130117957923</w:t>
            </w:r>
          </w:p>
        </w:tc>
        <w:tc>
          <w:tcPr>
            <w:tcW w:w="1640"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2434" w:type="dxa"/>
            <w:tcBorders/>
            <w:shd w:fill="CCEEFF" w:val="clear"/>
            <w:vAlign w:val="bottom"/>
          </w:tcPr>
          <w:p>
            <w:pPr>
              <w:pStyle w:val="TableContents"/>
              <w:bidi w:val="0"/>
              <w:spacing w:before="0" w:after="283"/>
              <w:jc w:val="right"/>
              <w:rPr/>
            </w:pPr>
            <w:r>
              <w:rPr/>
              <w:t>N/A</w:t>
            </w:r>
          </w:p>
        </w:tc>
        <w:tc>
          <w:tcPr>
            <w:tcW w:w="61"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74"/>
        <w:gridCol w:w="1775"/>
        <w:gridCol w:w="299"/>
        <w:gridCol w:w="2196"/>
        <w:gridCol w:w="61"/>
      </w:tblGrid>
      <w:tr>
        <w:trPr/>
        <w:tc>
          <w:tcPr>
            <w:tcW w:w="5874" w:type="dxa"/>
            <w:tcBorders/>
            <w:vAlign w:val="center"/>
          </w:tcPr>
          <w:p>
            <w:pPr>
              <w:pStyle w:val="TableContents"/>
              <w:bidi w:val="0"/>
              <w:spacing w:before="0" w:after="283"/>
              <w:jc w:val="left"/>
              <w:rPr>
                <w:sz w:val="4"/>
                <w:szCs w:val="4"/>
              </w:rPr>
            </w:pPr>
            <w:r>
              <w:rPr>
                <w:sz w:val="4"/>
                <w:szCs w:val="4"/>
              </w:rPr>
            </w:r>
          </w:p>
        </w:tc>
        <w:tc>
          <w:tcPr>
            <w:tcW w:w="1775" w:type="dxa"/>
            <w:tcBorders/>
            <w:vAlign w:val="bottom"/>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10144" w:type="dxa"/>
            <w:gridSpan w:val="4"/>
            <w:tcBorders/>
            <w:vAlign w:val="bottom"/>
          </w:tcPr>
          <w:p>
            <w:pPr>
              <w:pStyle w:val="TableContents"/>
              <w:bidi w:val="0"/>
              <w:spacing w:before="0" w:after="283"/>
              <w:jc w:val="left"/>
              <w:rPr>
                <w:b/>
                <w:color w:val="0000FF"/>
                <w:u w:val="single"/>
                <w:bdr w:val="double" w:sz="2" w:space="1" w:color="000000"/>
              </w:rPr>
            </w:pPr>
            <w:r>
              <w:rPr>
                <w:b/>
                <w:color w:val="0000FF"/>
                <w:u w:val="single"/>
                <w:bdr w:val="double" w:sz="2" w:space="1" w:color="000000"/>
              </w:rPr>
              <w:t>Account Bank: Bank of America, N.A., Singapore Branch</w:t>
            </w:r>
          </w:p>
        </w:tc>
        <w:tc>
          <w:tcPr>
            <w:tcW w:w="61" w:type="dxa"/>
            <w:tcBorders/>
            <w:vAlign w:val="bottom"/>
          </w:tcPr>
          <w:p>
            <w:pPr>
              <w:pStyle w:val="TableContents"/>
              <w:bidi w:val="0"/>
              <w:spacing w:before="0" w:after="283"/>
              <w:jc w:val="left"/>
              <w:rPr/>
            </w:pPr>
            <w:r>
              <w:rPr/>
              <w:t> </w:t>
            </w:r>
          </w:p>
        </w:tc>
      </w:tr>
      <w:tr>
        <w:trPr>
          <w:trHeight w:val="240" w:hRule="atLeast"/>
        </w:trPr>
        <w:tc>
          <w:tcPr>
            <w:tcW w:w="5874" w:type="dxa"/>
            <w:tcBorders/>
            <w:vAlign w:val="center"/>
          </w:tcPr>
          <w:p>
            <w:pPr>
              <w:pStyle w:val="TableContents"/>
              <w:bidi w:val="0"/>
              <w:spacing w:before="0" w:after="283"/>
              <w:jc w:val="left"/>
              <w:rPr>
                <w:sz w:val="4"/>
                <w:szCs w:val="4"/>
              </w:rPr>
            </w:pPr>
            <w:r>
              <w:rPr>
                <w:sz w:val="4"/>
                <w:szCs w:val="4"/>
              </w:rPr>
            </w:r>
          </w:p>
        </w:tc>
        <w:tc>
          <w:tcPr>
            <w:tcW w:w="4331" w:type="dxa"/>
            <w:gridSpan w:val="4"/>
            <w:tcBorders/>
            <w:vAlign w:val="center"/>
          </w:tcPr>
          <w:p>
            <w:pPr>
              <w:pStyle w:val="TableContents"/>
              <w:bidi w:val="0"/>
              <w:spacing w:before="0" w:after="283"/>
              <w:jc w:val="left"/>
              <w:rPr>
                <w:sz w:val="4"/>
                <w:szCs w:val="4"/>
              </w:rPr>
            </w:pPr>
            <w:r>
              <w:rPr>
                <w:sz w:val="4"/>
                <w:szCs w:val="4"/>
              </w:rPr>
            </w:r>
          </w:p>
        </w:tc>
      </w:tr>
      <w:tr>
        <w:trPr/>
        <w:tc>
          <w:tcPr>
            <w:tcW w:w="5874" w:type="dxa"/>
            <w:tcBorders/>
            <w:vAlign w:val="bottom"/>
          </w:tcPr>
          <w:p>
            <w:pPr>
              <w:pStyle w:val="TableContents"/>
              <w:pBdr>
                <w:bottom w:val="single" w:sz="8" w:space="1" w:color="000000"/>
              </w:pBdr>
              <w:bidi w:val="0"/>
              <w:spacing w:before="0" w:after="0"/>
              <w:jc w:val="left"/>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Collection Account Number</w:t>
            </w:r>
          </w:p>
        </w:tc>
        <w:tc>
          <w:tcPr>
            <w:tcW w:w="1775" w:type="dxa"/>
            <w:tcBorders/>
            <w:vAlign w:val="bottom"/>
          </w:tcPr>
          <w:p>
            <w:pPr>
              <w:pStyle w:val="TableContents"/>
              <w:bidi w:val="0"/>
              <w:spacing w:before="0" w:after="283"/>
              <w:jc w:val="left"/>
              <w:rPr/>
            </w:pPr>
            <w:r>
              <w:rPr/>
              <w:t>  </w:t>
            </w:r>
          </w:p>
        </w:tc>
        <w:tc>
          <w:tcPr>
            <w:tcW w:w="2495" w:type="dxa"/>
            <w:gridSpan w:val="2"/>
            <w:tcBorders>
              <w:bottom w:val="single" w:sz="8" w:space="0" w:color="000000"/>
            </w:tcBorders>
            <w:tcMar>
              <w:bottom w:w="28" w:type="dxa"/>
            </w:tcMar>
            <w:vAlign w:val="bottom"/>
          </w:tcPr>
          <w:p>
            <w:pPr>
              <w:pStyle w:val="TableContents"/>
              <w:bidi w:val="0"/>
              <w:spacing w:before="0" w:after="283"/>
              <w:jc w:val="center"/>
              <w:rPr>
                <w:b/>
                <w:color w:val="0000FF"/>
                <w:u w:val="single"/>
                <w:bdr w:val="double" w:sz="2" w:space="1" w:color="000000"/>
              </w:rPr>
            </w:pPr>
            <w:r>
              <w:rPr>
                <w:b/>
                <w:color w:val="0000FF"/>
                <w:u w:val="single"/>
                <w:bdr w:val="double" w:sz="2" w:space="1" w:color="000000"/>
              </w:rPr>
              <w:t>Associated Lock-Box (if  any)</w:t>
            </w:r>
          </w:p>
        </w:tc>
        <w:tc>
          <w:tcPr>
            <w:tcW w:w="61" w:type="dxa"/>
            <w:tcBorders/>
            <w:vAlign w:val="bottom"/>
          </w:tcPr>
          <w:p>
            <w:pPr>
              <w:pStyle w:val="TableContents"/>
              <w:bidi w:val="0"/>
              <w:spacing w:before="0" w:after="283"/>
              <w:jc w:val="left"/>
              <w:rPr/>
            </w:pPr>
            <w:r>
              <w:rPr/>
              <w:t> </w:t>
            </w:r>
          </w:p>
        </w:tc>
      </w:tr>
      <w:tr>
        <w:trPr/>
        <w:tc>
          <w:tcPr>
            <w:tcW w:w="5874" w:type="dxa"/>
            <w:tcBorders/>
            <w:shd w:fill="CCEEFF" w:val="clear"/>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621254350023</w:t>
            </w:r>
          </w:p>
        </w:tc>
        <w:tc>
          <w:tcPr>
            <w:tcW w:w="1775"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2196" w:type="dxa"/>
            <w:tcBorders/>
            <w:shd w:fill="CCEEFF" w:val="clear"/>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N/A</w:t>
            </w:r>
          </w:p>
        </w:tc>
        <w:tc>
          <w:tcPr>
            <w:tcW w:w="61"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II-1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III </w:t>
      </w:r>
    </w:p>
    <w:p>
      <w:pPr>
        <w:pStyle w:val="TextBody"/>
        <w:bidi w:val="0"/>
        <w:spacing w:before="0" w:after="0"/>
        <w:jc w:val="center"/>
        <w:rPr>
          <w:rFonts w:ascii="Times New Roman" w:hAnsi="Times New Roman"/>
          <w:b/>
          <w:sz w:val="20"/>
        </w:rPr>
      </w:pPr>
      <w:r>
        <w:rPr>
          <w:rFonts w:ascii="Times New Roman" w:hAnsi="Times New Roman"/>
          <w:b/>
          <w:sz w:val="20"/>
        </w:rPr>
        <w:t xml:space="preserve">Notice Addresses </w:t>
      </w:r>
    </w:p>
    <w:p>
      <w:pPr>
        <w:pStyle w:val="TextBody"/>
        <w:bidi w:val="0"/>
        <w:spacing w:before="240" w:after="0"/>
        <w:jc w:val="left"/>
        <w:rPr>
          <w:rFonts w:ascii="Times New Roman" w:hAnsi="Times New Roman"/>
          <w:sz w:val="20"/>
        </w:rPr>
      </w:pPr>
      <w:r>
        <w:rPr>
          <w:rFonts w:ascii="Times New Roman" w:hAnsi="Times New Roman"/>
          <w:sz w:val="20"/>
        </w:rPr>
        <w:t xml:space="preserve">(A) in the case of the Borrower, at the following address: </w:t>
      </w:r>
    </w:p>
    <w:p>
      <w:pPr>
        <w:pStyle w:val="TextBody"/>
        <w:bidi w:val="0"/>
        <w:spacing w:before="120" w:after="0"/>
        <w:jc w:val="left"/>
        <w:rPr>
          <w:rFonts w:ascii="Times New Roman" w:hAnsi="Times New Roman"/>
          <w:sz w:val="20"/>
        </w:rPr>
      </w:pPr>
      <w:r>
        <w:rPr>
          <w:rFonts w:ascii="Times New Roman" w:hAnsi="Times New Roman"/>
          <w:sz w:val="20"/>
        </w:rPr>
        <w:t xml:space="preserve">Sabre Securitization, LLC </w:t>
      </w:r>
    </w:p>
    <w:p>
      <w:pPr>
        <w:pStyle w:val="TextBody"/>
        <w:bidi w:val="0"/>
        <w:spacing w:before="0" w:after="0"/>
        <w:jc w:val="left"/>
        <w:rPr>
          <w:rFonts w:ascii="Times New Roman" w:hAnsi="Times New Roman"/>
          <w:sz w:val="20"/>
        </w:rPr>
      </w:pPr>
      <w:r>
        <w:rPr>
          <w:rFonts w:ascii="Times New Roman" w:hAnsi="Times New Roman"/>
          <w:sz w:val="20"/>
        </w:rPr>
        <w:t xml:space="preserve">3150 Sabre Drive </w:t>
      </w:r>
    </w:p>
    <w:p>
      <w:pPr>
        <w:pStyle w:val="TextBody"/>
        <w:bidi w:val="0"/>
        <w:spacing w:before="0" w:after="0"/>
        <w:jc w:val="left"/>
        <w:rPr>
          <w:rFonts w:ascii="Times New Roman" w:hAnsi="Times New Roman"/>
          <w:sz w:val="20"/>
        </w:rPr>
      </w:pPr>
      <w:r>
        <w:rPr>
          <w:rFonts w:ascii="Times New Roman" w:hAnsi="Times New Roman"/>
          <w:sz w:val="20"/>
        </w:rPr>
        <w:t xml:space="preserve">Southlake, TX 76092 </w:t>
      </w:r>
    </w:p>
    <w:p>
      <w:pPr>
        <w:pStyle w:val="TextBody"/>
        <w:bidi w:val="0"/>
        <w:spacing w:before="0" w:after="0"/>
        <w:jc w:val="left"/>
        <w:rPr>
          <w:rFonts w:ascii="Times New Roman" w:hAnsi="Times New Roman"/>
          <w:sz w:val="20"/>
        </w:rPr>
      </w:pPr>
      <w:r>
        <w:rPr>
          <w:rFonts w:ascii="Times New Roman" w:hAnsi="Times New Roman"/>
          <w:sz w:val="20"/>
        </w:rPr>
        <w:t xml:space="preserve">Telephone: 682-651-1000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120" w:after="0"/>
        <w:jc w:val="left"/>
        <w:rPr>
          <w:rFonts w:ascii="Times New Roman" w:hAnsi="Times New Roman"/>
          <w:sz w:val="20"/>
        </w:rPr>
      </w:pPr>
      <w:r>
        <w:rPr>
          <w:rFonts w:ascii="Times New Roman" w:hAnsi="Times New Roman"/>
          <w:sz w:val="20"/>
        </w:rPr>
        <w:t xml:space="preserve">(B) in the case of each Servicer, at the following address: </w:t>
      </w:r>
    </w:p>
    <w:p>
      <w:pPr>
        <w:pStyle w:val="TextBody"/>
        <w:bidi w:val="0"/>
        <w:spacing w:before="120" w:after="0"/>
        <w:jc w:val="left"/>
        <w:rPr>
          <w:rFonts w:ascii="Times New Roman" w:hAnsi="Times New Roman"/>
          <w:sz w:val="20"/>
        </w:rPr>
      </w:pPr>
      <w:r>
        <w:rPr>
          <w:rFonts w:ascii="Times New Roman" w:hAnsi="Times New Roman"/>
          <w:sz w:val="20"/>
        </w:rPr>
        <w:t xml:space="preserve">3150 Sabre Drive </w:t>
      </w:r>
    </w:p>
    <w:p>
      <w:pPr>
        <w:pStyle w:val="TextBody"/>
        <w:bidi w:val="0"/>
        <w:spacing w:before="0" w:after="0"/>
        <w:jc w:val="left"/>
        <w:rPr>
          <w:rFonts w:ascii="Times New Roman" w:hAnsi="Times New Roman"/>
          <w:sz w:val="20"/>
        </w:rPr>
      </w:pPr>
      <w:r>
        <w:rPr>
          <w:rFonts w:ascii="Times New Roman" w:hAnsi="Times New Roman"/>
          <w:sz w:val="20"/>
        </w:rPr>
        <w:t xml:space="preserve">Southlake, TX 76092 </w:t>
      </w:r>
    </w:p>
    <w:p>
      <w:pPr>
        <w:pStyle w:val="TextBody"/>
        <w:bidi w:val="0"/>
        <w:spacing w:before="0" w:after="0"/>
        <w:jc w:val="left"/>
        <w:rPr>
          <w:rFonts w:ascii="Times New Roman" w:hAnsi="Times New Roman"/>
          <w:sz w:val="20"/>
        </w:rPr>
      </w:pPr>
      <w:r>
        <w:rPr>
          <w:rFonts w:ascii="Times New Roman" w:hAnsi="Times New Roman"/>
          <w:sz w:val="20"/>
        </w:rPr>
        <w:t xml:space="preserve">Telephone: 682-651-1000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120" w:after="0"/>
        <w:jc w:val="left"/>
        <w:rPr>
          <w:rFonts w:ascii="Times New Roman" w:hAnsi="Times New Roman"/>
          <w:sz w:val="20"/>
        </w:rPr>
      </w:pPr>
      <w:r>
        <w:rPr>
          <w:rFonts w:ascii="Times New Roman" w:hAnsi="Times New Roman"/>
          <w:sz w:val="20"/>
        </w:rPr>
        <w:t xml:space="preserve">(C) in the case of the Administrative Agent or Class A Lender Representative, at the following address: </w:t>
      </w:r>
    </w:p>
    <w:p>
      <w:pPr>
        <w:pStyle w:val="TextBody"/>
        <w:bidi w:val="0"/>
        <w:spacing w:before="120" w:after="0"/>
        <w:jc w:val="left"/>
        <w:rPr>
          <w:rFonts w:ascii="Times New Roman" w:hAnsi="Times New Roman"/>
          <w:sz w:val="20"/>
        </w:rPr>
      </w:pPr>
      <w:r>
        <w:rPr>
          <w:rFonts w:ascii="Times New Roman" w:hAnsi="Times New Roman"/>
          <w:sz w:val="20"/>
        </w:rPr>
        <w:t xml:space="preserve">PNC Bank,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The Tower at PNC Plaza </w:t>
      </w:r>
    </w:p>
    <w:p>
      <w:pPr>
        <w:pStyle w:val="TextBody"/>
        <w:bidi w:val="0"/>
        <w:spacing w:before="0" w:after="0"/>
        <w:jc w:val="left"/>
        <w:rPr>
          <w:rFonts w:ascii="Times New Roman" w:hAnsi="Times New Roman"/>
          <w:sz w:val="20"/>
        </w:rPr>
      </w:pPr>
      <w:r>
        <w:rPr>
          <w:rFonts w:ascii="Times New Roman" w:hAnsi="Times New Roman"/>
          <w:sz w:val="20"/>
        </w:rPr>
        <w:t xml:space="preserve">300 Fifth Avenue, 11th Floor </w:t>
      </w:r>
    </w:p>
    <w:p>
      <w:pPr>
        <w:pStyle w:val="TextBody"/>
        <w:bidi w:val="0"/>
        <w:spacing w:before="0" w:after="0"/>
        <w:jc w:val="left"/>
        <w:rPr>
          <w:rFonts w:ascii="Times New Roman" w:hAnsi="Times New Roman"/>
          <w:sz w:val="20"/>
        </w:rPr>
      </w:pPr>
      <w:r>
        <w:rPr>
          <w:rFonts w:ascii="Times New Roman" w:hAnsi="Times New Roman"/>
          <w:sz w:val="20"/>
        </w:rPr>
        <w:t xml:space="preserve">Pittsburgh, PA 15222 </w:t>
      </w:r>
    </w:p>
    <w:p>
      <w:pPr>
        <w:pStyle w:val="TextBody"/>
        <w:bidi w:val="0"/>
        <w:spacing w:before="0" w:after="0"/>
        <w:jc w:val="left"/>
        <w:rPr>
          <w:rFonts w:ascii="Times New Roman" w:hAnsi="Times New Roman"/>
          <w:sz w:val="20"/>
        </w:rPr>
      </w:pPr>
      <w:r>
        <w:rPr>
          <w:rFonts w:ascii="Times New Roman" w:hAnsi="Times New Roman"/>
          <w:sz w:val="20"/>
        </w:rPr>
        <w:t xml:space="preserve">Attention: </w:t>
      </w:r>
      <w:r>
        <w:rPr>
          <w:rFonts w:ascii="Times New Roman" w:hAnsi="Times New Roman"/>
          <w:strike/>
          <w:color w:val="FF0000"/>
          <w:sz w:val="20"/>
        </w:rPr>
        <w:t>Brian Stanley</w:t>
      </w:r>
      <w:r>
        <w:rPr>
          <w:rFonts w:ascii="Times New Roman" w:hAnsi="Times New Roman"/>
          <w:color w:val="0000FF"/>
          <w:sz w:val="20"/>
          <w:u w:val="single"/>
          <w:bdr w:val="double" w:sz="2" w:space="1" w:color="000000"/>
        </w:rPr>
        <w:t>Tony Stahley</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Telephone: </w:t>
      </w:r>
      <w:r>
        <w:rPr>
          <w:rFonts w:ascii="Times New Roman" w:hAnsi="Times New Roman"/>
          <w:strike/>
          <w:color w:val="FF0000"/>
          <w:sz w:val="20"/>
        </w:rPr>
        <w:t>412-768-2001</w:t>
      </w:r>
      <w:r>
        <w:rPr>
          <w:rFonts w:ascii="Times New Roman" w:hAnsi="Times New Roman"/>
          <w:color w:val="0000FF"/>
          <w:sz w:val="20"/>
          <w:u w:val="single"/>
          <w:bdr w:val="double" w:sz="2" w:space="1" w:color="000000"/>
        </w:rPr>
        <w:t>412-768-2266</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Facsimile: 412-803-7142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trike/>
          <w:color w:val="FF0000"/>
          <w:sz w:val="20"/>
        </w:rPr>
        <w:t>brian.stanley</w:t>
      </w:r>
      <w:r>
        <w:rPr>
          <w:rFonts w:ascii="Times New Roman" w:hAnsi="Times New Roman"/>
          <w:color w:val="0000FF"/>
          <w:sz w:val="20"/>
          <w:u w:val="single"/>
          <w:bdr w:val="double" w:sz="2" w:space="1" w:color="000000"/>
        </w:rPr>
        <w:t>tony.stahley</w:t>
      </w:r>
      <w:r>
        <w:rPr>
          <w:rFonts w:ascii="Times New Roman" w:hAnsi="Times New Roman"/>
          <w:color w:val="0000FF"/>
          <w:sz w:val="20"/>
        </w:rPr>
        <w:t xml:space="preserve"> </w:t>
      </w:r>
      <w:r>
        <w:rPr>
          <w:rFonts w:ascii="Times New Roman" w:hAnsi="Times New Roman"/>
          <w:sz w:val="20"/>
        </w:rPr>
        <w:t xml:space="preserve">@pnc.com </w:t>
      </w:r>
    </w:p>
    <w:p>
      <w:pPr>
        <w:pStyle w:val="TextBody"/>
        <w:bidi w:val="0"/>
        <w:spacing w:before="0" w:after="0"/>
        <w:jc w:val="left"/>
        <w:rPr>
          <w:rFonts w:ascii="Times New Roman" w:hAnsi="Times New Roman"/>
          <w:sz w:val="20"/>
        </w:rPr>
      </w:pPr>
      <w:r>
        <w:rPr>
          <w:rFonts w:ascii="Times New Roman" w:hAnsi="Times New Roman"/>
          <w:sz w:val="20"/>
        </w:rPr>
        <w:t xml:space="preserve">ABFAdmin@pnc.com </w:t>
      </w:r>
    </w:p>
    <w:p>
      <w:pPr>
        <w:pStyle w:val="TextBody"/>
        <w:bidi w:val="0"/>
        <w:spacing w:before="120" w:after="0"/>
        <w:jc w:val="left"/>
        <w:rPr>
          <w:rFonts w:ascii="Times New Roman" w:hAnsi="Times New Roman"/>
          <w:sz w:val="20"/>
        </w:rPr>
      </w:pPr>
      <w:r>
        <w:rPr>
          <w:rFonts w:ascii="Times New Roman" w:hAnsi="Times New Roman"/>
          <w:sz w:val="20"/>
        </w:rPr>
        <w:t xml:space="preserve">(D) in the case of the Class B Lender Representative, at the following address: </w:t>
      </w:r>
    </w:p>
    <w:p>
      <w:pPr>
        <w:pStyle w:val="TextBody"/>
        <w:bidi w:val="0"/>
        <w:spacing w:before="120" w:after="0"/>
        <w:jc w:val="left"/>
        <w:rPr>
          <w:rFonts w:ascii="Times New Roman" w:hAnsi="Times New Roman"/>
          <w:sz w:val="20"/>
        </w:rPr>
      </w:pPr>
      <w:r>
        <w:rPr>
          <w:rFonts w:ascii="Times New Roman" w:hAnsi="Times New Roman"/>
          <w:sz w:val="20"/>
        </w:rPr>
        <w:t xml:space="preserve">Centerbridge Credit CS, L.P. </w:t>
      </w:r>
    </w:p>
    <w:p>
      <w:pPr>
        <w:pStyle w:val="TextBody"/>
        <w:bidi w:val="0"/>
        <w:spacing w:before="0" w:after="0"/>
        <w:jc w:val="left"/>
        <w:rPr>
          <w:rFonts w:ascii="Times New Roman" w:hAnsi="Times New Roman"/>
          <w:sz w:val="20"/>
        </w:rPr>
      </w:pPr>
      <w:r>
        <w:rPr>
          <w:rFonts w:ascii="Times New Roman" w:hAnsi="Times New Roman"/>
          <w:sz w:val="20"/>
        </w:rPr>
        <w:t xml:space="preserve">375 Park Avenue, 11th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10152 </w:t>
      </w:r>
    </w:p>
    <w:p>
      <w:pPr>
        <w:pStyle w:val="TextBody"/>
        <w:bidi w:val="0"/>
        <w:spacing w:before="0" w:after="0"/>
        <w:jc w:val="left"/>
        <w:rPr>
          <w:rFonts w:ascii="Times New Roman" w:hAnsi="Times New Roman"/>
          <w:sz w:val="20"/>
        </w:rPr>
      </w:pPr>
      <w:r>
        <w:rPr>
          <w:rFonts w:ascii="Times New Roman" w:hAnsi="Times New Roman"/>
          <w:sz w:val="20"/>
        </w:rPr>
        <w:t xml:space="preserve">Email: legalnotices@centerbridge.com; </w:t>
      </w:r>
    </w:p>
    <w:p>
      <w:pPr>
        <w:pStyle w:val="TextBody"/>
        <w:bidi w:val="0"/>
        <w:spacing w:before="0" w:after="0"/>
        <w:jc w:val="left"/>
        <w:rPr>
          <w:rFonts w:ascii="Times New Roman" w:hAnsi="Times New Roman"/>
          <w:sz w:val="20"/>
        </w:rPr>
      </w:pPr>
      <w:r>
        <w:rPr>
          <w:rFonts w:ascii="Times New Roman" w:hAnsi="Times New Roman"/>
          <w:sz w:val="20"/>
        </w:rPr>
        <w:t xml:space="preserve">mahmed@centerbridge.com </w:t>
      </w:r>
    </w:p>
    <w:p>
      <w:pPr>
        <w:pStyle w:val="TextBody"/>
        <w:bidi w:val="0"/>
        <w:spacing w:before="0" w:after="0"/>
        <w:jc w:val="left"/>
        <w:rPr>
          <w:rFonts w:ascii="Times New Roman" w:hAnsi="Times New Roman"/>
          <w:sz w:val="20"/>
        </w:rPr>
      </w:pPr>
      <w:r>
        <w:rPr>
          <w:rFonts w:ascii="Times New Roman" w:hAnsi="Times New Roman"/>
          <w:sz w:val="20"/>
        </w:rPr>
        <w:t xml:space="preserve">Attention: The Office of the General Counsel </w:t>
      </w:r>
    </w:p>
    <w:p>
      <w:pPr>
        <w:pStyle w:val="TextBody"/>
        <w:bidi w:val="0"/>
        <w:spacing w:before="120" w:after="0"/>
        <w:jc w:val="left"/>
        <w:rPr>
          <w:rFonts w:ascii="Times New Roman" w:hAnsi="Times New Roman"/>
          <w:sz w:val="20"/>
        </w:rPr>
      </w:pPr>
      <w:r>
        <w:rPr>
          <w:rFonts w:ascii="Times New Roman" w:hAnsi="Times New Roman"/>
          <w:sz w:val="20"/>
        </w:rPr>
        <w:t xml:space="preserve">(E) in the case of any other Person, at the address for such Person specified in the other Transaction Documents; in each case, or at such other address as shall be designated by such Person in a written notice to the other parties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III-1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[Attached]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676400"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76400" cy="5334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CLOSING MEMORANDUM </w:t>
      </w:r>
    </w:p>
    <w:p>
      <w:pPr>
        <w:pStyle w:val="TextBody"/>
        <w:bidi w:val="0"/>
        <w:spacing w:before="240" w:after="0"/>
        <w:jc w:val="center"/>
        <w:rPr>
          <w:rFonts w:ascii="Times New Roman" w:hAnsi="Times New Roman"/>
          <w:b/>
          <w:sz w:val="20"/>
        </w:rPr>
      </w:pPr>
      <w:r>
        <w:rPr>
          <w:rFonts w:ascii="Times New Roman" w:hAnsi="Times New Roman"/>
          <w:b/>
          <w:sz w:val="20"/>
        </w:rPr>
        <w:t xml:space="preserve">FOURTH AMENDMENT TO TRADE RECEIVABLES SECURITIZATION FACILITY </w:t>
      </w:r>
    </w:p>
    <w:p>
      <w:pPr>
        <w:pStyle w:val="TextBody"/>
        <w:bidi w:val="0"/>
        <w:spacing w:before="240" w:after="0"/>
        <w:jc w:val="center"/>
        <w:rPr>
          <w:rFonts w:ascii="Times New Roman" w:hAnsi="Times New Roman"/>
          <w:b/>
          <w:sz w:val="20"/>
        </w:rPr>
      </w:pPr>
      <w:r>
        <w:rPr>
          <w:rFonts w:ascii="Times New Roman" w:hAnsi="Times New Roman"/>
          <w:b/>
          <w:sz w:val="20"/>
        </w:rPr>
        <w:t xml:space="preserve">for </w:t>
      </w:r>
    </w:p>
    <w:p>
      <w:pPr>
        <w:pStyle w:val="TextBody"/>
        <w:bidi w:val="0"/>
        <w:spacing w:before="240" w:after="0"/>
        <w:jc w:val="center"/>
        <w:rPr>
          <w:rFonts w:ascii="Times New Roman" w:hAnsi="Times New Roman"/>
          <w:b/>
          <w:sz w:val="20"/>
        </w:rPr>
      </w:pPr>
      <w:r>
        <w:rPr>
          <w:rFonts w:ascii="Times New Roman" w:hAnsi="Times New Roman"/>
          <w:b/>
          <w:sz w:val="20"/>
        </w:rPr>
        <w:t xml:space="preserve">Sabre Corp. &amp; certain of its Subsidiaries </w:t>
      </w:r>
    </w:p>
    <w:p>
      <w:pPr>
        <w:pStyle w:val="TextBody"/>
        <w:bidi w:val="0"/>
        <w:spacing w:before="240" w:after="0"/>
        <w:jc w:val="center"/>
        <w:rPr>
          <w:rFonts w:ascii="Times New Roman" w:hAnsi="Times New Roman"/>
          <w:b/>
          <w:sz w:val="20"/>
        </w:rPr>
      </w:pPr>
      <w:r>
        <w:rPr>
          <w:rFonts w:ascii="Times New Roman" w:hAnsi="Times New Roman"/>
          <w:b/>
          <w:sz w:val="20"/>
        </w:rPr>
        <w:t xml:space="preserve">with </w:t>
      </w:r>
    </w:p>
    <w:p>
      <w:pPr>
        <w:pStyle w:val="TextBody"/>
        <w:bidi w:val="0"/>
        <w:spacing w:before="240" w:after="0"/>
        <w:jc w:val="center"/>
        <w:rPr>
          <w:rFonts w:ascii="Times New Roman" w:hAnsi="Times New Roman"/>
          <w:b/>
          <w:sz w:val="20"/>
        </w:rPr>
      </w:pPr>
      <w:r>
        <w:rPr>
          <w:rFonts w:ascii="Times New Roman" w:hAnsi="Times New Roman"/>
          <w:b/>
          <w:sz w:val="20"/>
        </w:rPr>
        <w:t xml:space="preserve">PNC Bank, National Association, </w:t>
      </w:r>
    </w:p>
    <w:p>
      <w:pPr>
        <w:pStyle w:val="TextBody"/>
        <w:bidi w:val="0"/>
        <w:spacing w:before="0" w:after="0"/>
        <w:jc w:val="center"/>
        <w:rPr>
          <w:rFonts w:ascii="Times New Roman" w:hAnsi="Times New Roman"/>
          <w:b/>
          <w:i/>
          <w:sz w:val="20"/>
        </w:rPr>
      </w:pPr>
      <w:r>
        <w:rPr>
          <w:rFonts w:ascii="Times New Roman" w:hAnsi="Times New Roman"/>
          <w:b/>
          <w:i/>
          <w:sz w:val="20"/>
        </w:rPr>
        <w:t xml:space="preserve">as Administrative Agent and Lender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PNC Capital Markets LLC, </w:t>
      </w:r>
    </w:p>
    <w:p>
      <w:pPr>
        <w:pStyle w:val="TextBody"/>
        <w:bidi w:val="0"/>
        <w:spacing w:before="0" w:after="0"/>
        <w:jc w:val="center"/>
        <w:rPr>
          <w:rFonts w:ascii="Times New Roman" w:hAnsi="Times New Roman"/>
          <w:b/>
          <w:i/>
          <w:sz w:val="20"/>
        </w:rPr>
      </w:pPr>
      <w:r>
        <w:rPr>
          <w:rFonts w:ascii="Times New Roman" w:hAnsi="Times New Roman"/>
          <w:b/>
          <w:i/>
          <w:sz w:val="20"/>
        </w:rPr>
        <w:t xml:space="preserve">as Structuring Agent </w:t>
      </w:r>
    </w:p>
    <w:p>
      <w:pPr>
        <w:pStyle w:val="TextBody"/>
        <w:bidi w:val="0"/>
        <w:spacing w:before="240" w:after="0"/>
        <w:jc w:val="center"/>
        <w:rPr>
          <w:rFonts w:ascii="Times New Roman" w:hAnsi="Times New Roman"/>
          <w:b/>
          <w:sz w:val="20"/>
        </w:rPr>
      </w:pPr>
      <w:r>
        <w:rPr>
          <w:rFonts w:ascii="Times New Roman" w:hAnsi="Times New Roman"/>
          <w:b/>
          <w:sz w:val="20"/>
        </w:rPr>
        <w:t xml:space="preserve">Signing Date: August 4, 2026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Parties and Abbreviations: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82"/>
        <w:gridCol w:w="121"/>
        <w:gridCol w:w="7102"/>
      </w:tblGrid>
      <w:tr>
        <w:trPr/>
        <w:tc>
          <w:tcPr>
            <w:tcW w:w="298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102" w:type="dxa"/>
            <w:tcBorders/>
            <w:vAlign w:val="center"/>
          </w:tcPr>
          <w:p>
            <w:pPr>
              <w:pStyle w:val="TableContents"/>
              <w:bidi w:val="0"/>
              <w:spacing w:before="0" w:after="283"/>
              <w:jc w:val="left"/>
              <w:rPr>
                <w:sz w:val="4"/>
                <w:szCs w:val="4"/>
              </w:rPr>
            </w:pPr>
            <w:r>
              <w:rPr>
                <w:sz w:val="4"/>
                <w:szCs w:val="4"/>
              </w:rPr>
            </w:r>
          </w:p>
        </w:tc>
      </w:tr>
      <w:tr>
        <w:trPr/>
        <w:tc>
          <w:tcPr>
            <w:tcW w:w="2982" w:type="dxa"/>
            <w:tcBorders/>
          </w:tcPr>
          <w:p>
            <w:pPr>
              <w:pStyle w:val="TableContents"/>
              <w:bidi w:val="0"/>
              <w:spacing w:before="0" w:after="283"/>
              <w:jc w:val="left"/>
              <w:rPr>
                <w:i/>
              </w:rPr>
            </w:pPr>
            <w:r>
              <w:rPr>
                <w:i/>
              </w:rPr>
              <w:t>Administrative Agent</w:t>
            </w:r>
          </w:p>
        </w:tc>
        <w:tc>
          <w:tcPr>
            <w:tcW w:w="121" w:type="dxa"/>
            <w:tcBorders/>
            <w:vAlign w:val="bottom"/>
          </w:tcPr>
          <w:p>
            <w:pPr>
              <w:pStyle w:val="TableContents"/>
              <w:bidi w:val="0"/>
              <w:spacing w:before="0" w:after="283"/>
              <w:jc w:val="left"/>
              <w:rPr/>
            </w:pPr>
            <w:r>
              <w:rPr/>
              <w:t>  </w:t>
            </w:r>
          </w:p>
        </w:tc>
        <w:tc>
          <w:tcPr>
            <w:tcW w:w="7102" w:type="dxa"/>
            <w:tcBorders/>
          </w:tcPr>
          <w:p>
            <w:pPr>
              <w:pStyle w:val="TableContents"/>
              <w:bidi w:val="0"/>
              <w:spacing w:before="0" w:after="283"/>
              <w:jc w:val="left"/>
              <w:rPr/>
            </w:pPr>
            <w:r>
              <w:rPr/>
              <w:t>PNC</w:t>
            </w:r>
          </w:p>
        </w:tc>
      </w:tr>
      <w:tr>
        <w:trPr>
          <w:trHeight w:val="120" w:hRule="atLeast"/>
        </w:trPr>
        <w:tc>
          <w:tcPr>
            <w:tcW w:w="2982" w:type="dxa"/>
            <w:tcBorders/>
            <w:vAlign w:val="center"/>
          </w:tcPr>
          <w:p>
            <w:pPr>
              <w:pStyle w:val="TableContents"/>
              <w:bidi w:val="0"/>
              <w:spacing w:before="0" w:after="283"/>
              <w:jc w:val="left"/>
              <w:rPr>
                <w:sz w:val="4"/>
                <w:szCs w:val="4"/>
              </w:rPr>
            </w:pPr>
            <w:r>
              <w:rPr>
                <w:sz w:val="4"/>
                <w:szCs w:val="4"/>
              </w:rPr>
            </w:r>
          </w:p>
        </w:tc>
        <w:tc>
          <w:tcPr>
            <w:tcW w:w="7223" w:type="dxa"/>
            <w:gridSpan w:val="2"/>
            <w:tcBorders/>
            <w:vAlign w:val="center"/>
          </w:tcPr>
          <w:p>
            <w:pPr>
              <w:pStyle w:val="TableContents"/>
              <w:bidi w:val="0"/>
              <w:spacing w:before="0" w:after="283"/>
              <w:jc w:val="left"/>
              <w:rPr>
                <w:sz w:val="4"/>
                <w:szCs w:val="4"/>
              </w:rPr>
            </w:pPr>
            <w:r>
              <w:rPr>
                <w:sz w:val="4"/>
                <w:szCs w:val="4"/>
              </w:rPr>
            </w:r>
          </w:p>
        </w:tc>
      </w:tr>
      <w:tr>
        <w:trPr/>
        <w:tc>
          <w:tcPr>
            <w:tcW w:w="2982" w:type="dxa"/>
            <w:tcBorders/>
          </w:tcPr>
          <w:p>
            <w:pPr>
              <w:pStyle w:val="TableContents"/>
              <w:bidi w:val="0"/>
              <w:spacing w:before="0" w:after="283"/>
              <w:jc w:val="left"/>
              <w:rPr>
                <w:i/>
              </w:rPr>
            </w:pPr>
            <w:r>
              <w:rPr>
                <w:i/>
              </w:rPr>
              <w:t>Class A Lender Representative</w:t>
            </w:r>
          </w:p>
        </w:tc>
        <w:tc>
          <w:tcPr>
            <w:tcW w:w="121" w:type="dxa"/>
            <w:tcBorders/>
            <w:vAlign w:val="bottom"/>
          </w:tcPr>
          <w:p>
            <w:pPr>
              <w:pStyle w:val="TableContents"/>
              <w:bidi w:val="0"/>
              <w:spacing w:before="0" w:after="283"/>
              <w:jc w:val="left"/>
              <w:rPr/>
            </w:pPr>
            <w:r>
              <w:rPr/>
              <w:t>  </w:t>
            </w:r>
          </w:p>
        </w:tc>
        <w:tc>
          <w:tcPr>
            <w:tcW w:w="7102" w:type="dxa"/>
            <w:tcBorders/>
          </w:tcPr>
          <w:p>
            <w:pPr>
              <w:pStyle w:val="TableContents"/>
              <w:bidi w:val="0"/>
              <w:spacing w:before="0" w:after="283"/>
              <w:jc w:val="left"/>
              <w:rPr/>
            </w:pPr>
            <w:r>
              <w:rPr/>
              <w:t>PNC</w:t>
            </w:r>
          </w:p>
        </w:tc>
      </w:tr>
      <w:tr>
        <w:trPr>
          <w:trHeight w:val="120" w:hRule="atLeast"/>
        </w:trPr>
        <w:tc>
          <w:tcPr>
            <w:tcW w:w="2982" w:type="dxa"/>
            <w:tcBorders/>
            <w:vAlign w:val="center"/>
          </w:tcPr>
          <w:p>
            <w:pPr>
              <w:pStyle w:val="TableContents"/>
              <w:bidi w:val="0"/>
              <w:spacing w:before="0" w:after="283"/>
              <w:jc w:val="left"/>
              <w:rPr>
                <w:sz w:val="4"/>
                <w:szCs w:val="4"/>
              </w:rPr>
            </w:pPr>
            <w:r>
              <w:rPr>
                <w:sz w:val="4"/>
                <w:szCs w:val="4"/>
              </w:rPr>
            </w:r>
          </w:p>
        </w:tc>
        <w:tc>
          <w:tcPr>
            <w:tcW w:w="7223" w:type="dxa"/>
            <w:gridSpan w:val="2"/>
            <w:tcBorders/>
            <w:vAlign w:val="center"/>
          </w:tcPr>
          <w:p>
            <w:pPr>
              <w:pStyle w:val="TableContents"/>
              <w:bidi w:val="0"/>
              <w:spacing w:before="0" w:after="283"/>
              <w:jc w:val="left"/>
              <w:rPr>
                <w:sz w:val="4"/>
                <w:szCs w:val="4"/>
              </w:rPr>
            </w:pPr>
            <w:r>
              <w:rPr>
                <w:sz w:val="4"/>
                <w:szCs w:val="4"/>
              </w:rPr>
            </w:r>
          </w:p>
        </w:tc>
      </w:tr>
      <w:tr>
        <w:trPr/>
        <w:tc>
          <w:tcPr>
            <w:tcW w:w="2982" w:type="dxa"/>
            <w:tcBorders/>
          </w:tcPr>
          <w:p>
            <w:pPr>
              <w:pStyle w:val="TableContents"/>
              <w:bidi w:val="0"/>
              <w:spacing w:before="0" w:after="283"/>
              <w:jc w:val="left"/>
              <w:rPr>
                <w:i/>
              </w:rPr>
            </w:pPr>
            <w:r>
              <w:rPr>
                <w:i/>
              </w:rPr>
              <w:t>Class A Lender</w:t>
            </w:r>
          </w:p>
        </w:tc>
        <w:tc>
          <w:tcPr>
            <w:tcW w:w="121" w:type="dxa"/>
            <w:tcBorders/>
            <w:vAlign w:val="bottom"/>
          </w:tcPr>
          <w:p>
            <w:pPr>
              <w:pStyle w:val="TableContents"/>
              <w:bidi w:val="0"/>
              <w:spacing w:before="0" w:after="283"/>
              <w:jc w:val="left"/>
              <w:rPr/>
            </w:pPr>
            <w:r>
              <w:rPr/>
              <w:t>  </w:t>
            </w:r>
          </w:p>
        </w:tc>
        <w:tc>
          <w:tcPr>
            <w:tcW w:w="7102" w:type="dxa"/>
            <w:tcBorders/>
          </w:tcPr>
          <w:p>
            <w:pPr>
              <w:pStyle w:val="TableContents"/>
              <w:bidi w:val="0"/>
              <w:spacing w:before="0" w:after="283"/>
              <w:jc w:val="left"/>
              <w:rPr/>
            </w:pPr>
            <w:r>
              <w:rPr/>
              <w:t>PNC</w:t>
            </w:r>
          </w:p>
        </w:tc>
      </w:tr>
      <w:tr>
        <w:trPr>
          <w:trHeight w:val="120" w:hRule="atLeast"/>
        </w:trPr>
        <w:tc>
          <w:tcPr>
            <w:tcW w:w="2982" w:type="dxa"/>
            <w:tcBorders/>
            <w:vAlign w:val="center"/>
          </w:tcPr>
          <w:p>
            <w:pPr>
              <w:pStyle w:val="TableContents"/>
              <w:bidi w:val="0"/>
              <w:spacing w:before="0" w:after="283"/>
              <w:jc w:val="left"/>
              <w:rPr>
                <w:sz w:val="4"/>
                <w:szCs w:val="4"/>
              </w:rPr>
            </w:pPr>
            <w:r>
              <w:rPr>
                <w:sz w:val="4"/>
                <w:szCs w:val="4"/>
              </w:rPr>
            </w:r>
          </w:p>
        </w:tc>
        <w:tc>
          <w:tcPr>
            <w:tcW w:w="7223" w:type="dxa"/>
            <w:gridSpan w:val="2"/>
            <w:tcBorders/>
            <w:vAlign w:val="center"/>
          </w:tcPr>
          <w:p>
            <w:pPr>
              <w:pStyle w:val="TableContents"/>
              <w:bidi w:val="0"/>
              <w:spacing w:before="0" w:after="283"/>
              <w:jc w:val="left"/>
              <w:rPr>
                <w:sz w:val="4"/>
                <w:szCs w:val="4"/>
              </w:rPr>
            </w:pPr>
            <w:r>
              <w:rPr>
                <w:sz w:val="4"/>
                <w:szCs w:val="4"/>
              </w:rPr>
            </w:r>
          </w:p>
        </w:tc>
      </w:tr>
      <w:tr>
        <w:trPr/>
        <w:tc>
          <w:tcPr>
            <w:tcW w:w="2982" w:type="dxa"/>
            <w:tcBorders/>
          </w:tcPr>
          <w:p>
            <w:pPr>
              <w:pStyle w:val="TableContents"/>
              <w:bidi w:val="0"/>
              <w:spacing w:before="0" w:after="283"/>
              <w:jc w:val="left"/>
              <w:rPr>
                <w:i/>
              </w:rPr>
            </w:pPr>
            <w:r>
              <w:rPr>
                <w:i/>
              </w:rPr>
              <w:t>Class B Lender Representative</w:t>
            </w:r>
          </w:p>
        </w:tc>
        <w:tc>
          <w:tcPr>
            <w:tcW w:w="121" w:type="dxa"/>
            <w:tcBorders/>
            <w:vAlign w:val="bottom"/>
          </w:tcPr>
          <w:p>
            <w:pPr>
              <w:pStyle w:val="TableContents"/>
              <w:bidi w:val="0"/>
              <w:spacing w:before="0" w:after="283"/>
              <w:jc w:val="left"/>
              <w:rPr/>
            </w:pPr>
            <w:r>
              <w:rPr/>
              <w:t>  </w:t>
            </w:r>
          </w:p>
        </w:tc>
        <w:tc>
          <w:tcPr>
            <w:tcW w:w="7102" w:type="dxa"/>
            <w:tcBorders/>
          </w:tcPr>
          <w:p>
            <w:pPr>
              <w:pStyle w:val="TableContents"/>
              <w:bidi w:val="0"/>
              <w:spacing w:before="0" w:after="283"/>
              <w:jc w:val="left"/>
              <w:rPr/>
            </w:pPr>
            <w:r>
              <w:rPr/>
              <w:t>Centerbridge Credit CS, L.P.</w:t>
            </w:r>
          </w:p>
        </w:tc>
      </w:tr>
      <w:tr>
        <w:trPr>
          <w:trHeight w:val="120" w:hRule="atLeast"/>
        </w:trPr>
        <w:tc>
          <w:tcPr>
            <w:tcW w:w="2982" w:type="dxa"/>
            <w:tcBorders/>
            <w:vAlign w:val="center"/>
          </w:tcPr>
          <w:p>
            <w:pPr>
              <w:pStyle w:val="TableContents"/>
              <w:bidi w:val="0"/>
              <w:spacing w:before="0" w:after="283"/>
              <w:jc w:val="left"/>
              <w:rPr>
                <w:sz w:val="4"/>
                <w:szCs w:val="4"/>
              </w:rPr>
            </w:pPr>
            <w:r>
              <w:rPr>
                <w:sz w:val="4"/>
                <w:szCs w:val="4"/>
              </w:rPr>
            </w:r>
          </w:p>
        </w:tc>
        <w:tc>
          <w:tcPr>
            <w:tcW w:w="7223" w:type="dxa"/>
            <w:gridSpan w:val="2"/>
            <w:tcBorders/>
            <w:vAlign w:val="center"/>
          </w:tcPr>
          <w:p>
            <w:pPr>
              <w:pStyle w:val="TableContents"/>
              <w:bidi w:val="0"/>
              <w:spacing w:before="0" w:after="283"/>
              <w:jc w:val="left"/>
              <w:rPr>
                <w:sz w:val="4"/>
                <w:szCs w:val="4"/>
              </w:rPr>
            </w:pPr>
            <w:r>
              <w:rPr>
                <w:sz w:val="4"/>
                <w:szCs w:val="4"/>
              </w:rPr>
            </w:r>
          </w:p>
        </w:tc>
      </w:tr>
      <w:tr>
        <w:trPr/>
        <w:tc>
          <w:tcPr>
            <w:tcW w:w="2982" w:type="dxa"/>
            <w:tcBorders/>
          </w:tcPr>
          <w:p>
            <w:pPr>
              <w:pStyle w:val="TableContents"/>
              <w:bidi w:val="0"/>
              <w:spacing w:before="0" w:after="283"/>
              <w:jc w:val="left"/>
              <w:rPr>
                <w:i/>
              </w:rPr>
            </w:pPr>
            <w:r>
              <w:rPr>
                <w:i/>
              </w:rPr>
              <w:t>Class B Lenders</w:t>
            </w:r>
          </w:p>
        </w:tc>
        <w:tc>
          <w:tcPr>
            <w:tcW w:w="121" w:type="dxa"/>
            <w:tcBorders/>
            <w:vAlign w:val="bottom"/>
          </w:tcPr>
          <w:p>
            <w:pPr>
              <w:pStyle w:val="TableContents"/>
              <w:bidi w:val="0"/>
              <w:spacing w:before="0" w:after="283"/>
              <w:jc w:val="left"/>
              <w:rPr/>
            </w:pPr>
            <w:r>
              <w:rPr/>
              <w:t>  </w:t>
            </w:r>
          </w:p>
        </w:tc>
        <w:tc>
          <w:tcPr>
            <w:tcW w:w="7102" w:type="dxa"/>
            <w:tcBorders/>
          </w:tcPr>
          <w:p>
            <w:pPr>
              <w:pStyle w:val="TableContents"/>
              <w:bidi w:val="0"/>
              <w:spacing w:before="0" w:after="283"/>
              <w:jc w:val="left"/>
              <w:rPr/>
            </w:pPr>
            <w:r>
              <w:rPr/>
              <w:t>Class B Lenders from time to time party to the Receivables Financing Agreement</w:t>
            </w:r>
          </w:p>
        </w:tc>
      </w:tr>
      <w:tr>
        <w:trPr>
          <w:trHeight w:val="120" w:hRule="atLeast"/>
        </w:trPr>
        <w:tc>
          <w:tcPr>
            <w:tcW w:w="2982" w:type="dxa"/>
            <w:tcBorders/>
            <w:vAlign w:val="center"/>
          </w:tcPr>
          <w:p>
            <w:pPr>
              <w:pStyle w:val="TableContents"/>
              <w:bidi w:val="0"/>
              <w:spacing w:before="0" w:after="283"/>
              <w:jc w:val="left"/>
              <w:rPr>
                <w:sz w:val="4"/>
                <w:szCs w:val="4"/>
              </w:rPr>
            </w:pPr>
            <w:r>
              <w:rPr>
                <w:sz w:val="4"/>
                <w:szCs w:val="4"/>
              </w:rPr>
            </w:r>
          </w:p>
        </w:tc>
        <w:tc>
          <w:tcPr>
            <w:tcW w:w="7223" w:type="dxa"/>
            <w:gridSpan w:val="2"/>
            <w:tcBorders/>
            <w:vAlign w:val="center"/>
          </w:tcPr>
          <w:p>
            <w:pPr>
              <w:pStyle w:val="TableContents"/>
              <w:bidi w:val="0"/>
              <w:spacing w:before="0" w:after="283"/>
              <w:jc w:val="left"/>
              <w:rPr>
                <w:sz w:val="4"/>
                <w:szCs w:val="4"/>
              </w:rPr>
            </w:pPr>
            <w:r>
              <w:rPr>
                <w:sz w:val="4"/>
                <w:szCs w:val="4"/>
              </w:rPr>
            </w:r>
          </w:p>
        </w:tc>
      </w:tr>
      <w:tr>
        <w:trPr/>
        <w:tc>
          <w:tcPr>
            <w:tcW w:w="2982" w:type="dxa"/>
            <w:tcBorders/>
          </w:tcPr>
          <w:p>
            <w:pPr>
              <w:pStyle w:val="TableContents"/>
              <w:bidi w:val="0"/>
              <w:spacing w:before="0" w:after="283"/>
              <w:jc w:val="left"/>
              <w:rPr>
                <w:i/>
              </w:rPr>
            </w:pPr>
            <w:r>
              <w:rPr>
                <w:i/>
              </w:rPr>
              <w:t>Collection Account Bank</w:t>
            </w:r>
          </w:p>
        </w:tc>
        <w:tc>
          <w:tcPr>
            <w:tcW w:w="121" w:type="dxa"/>
            <w:tcBorders/>
            <w:vAlign w:val="bottom"/>
          </w:tcPr>
          <w:p>
            <w:pPr>
              <w:pStyle w:val="TableContents"/>
              <w:bidi w:val="0"/>
              <w:spacing w:before="0" w:after="283"/>
              <w:jc w:val="left"/>
              <w:rPr/>
            </w:pPr>
            <w:r>
              <w:rPr/>
              <w:t>  </w:t>
            </w:r>
          </w:p>
        </w:tc>
        <w:tc>
          <w:tcPr>
            <w:tcW w:w="7102" w:type="dxa"/>
            <w:tcBorders/>
          </w:tcPr>
          <w:p>
            <w:pPr>
              <w:pStyle w:val="TableContents"/>
              <w:bidi w:val="0"/>
              <w:spacing w:before="0" w:after="283"/>
              <w:jc w:val="left"/>
              <w:rPr/>
            </w:pPr>
            <w:r>
              <w:rPr/>
              <w:t>UK Collection Account Bank; U.S. Collection Account Bank and Singapore Collection Account Bank</w:t>
            </w:r>
          </w:p>
        </w:tc>
      </w:tr>
      <w:tr>
        <w:trPr>
          <w:trHeight w:val="120" w:hRule="atLeast"/>
        </w:trPr>
        <w:tc>
          <w:tcPr>
            <w:tcW w:w="2982" w:type="dxa"/>
            <w:tcBorders/>
            <w:vAlign w:val="center"/>
          </w:tcPr>
          <w:p>
            <w:pPr>
              <w:pStyle w:val="TableContents"/>
              <w:bidi w:val="0"/>
              <w:spacing w:before="0" w:after="283"/>
              <w:jc w:val="left"/>
              <w:rPr>
                <w:sz w:val="4"/>
                <w:szCs w:val="4"/>
              </w:rPr>
            </w:pPr>
            <w:r>
              <w:rPr>
                <w:sz w:val="4"/>
                <w:szCs w:val="4"/>
              </w:rPr>
            </w:r>
          </w:p>
        </w:tc>
        <w:tc>
          <w:tcPr>
            <w:tcW w:w="7223" w:type="dxa"/>
            <w:gridSpan w:val="2"/>
            <w:tcBorders/>
            <w:vAlign w:val="center"/>
          </w:tcPr>
          <w:p>
            <w:pPr>
              <w:pStyle w:val="TableContents"/>
              <w:bidi w:val="0"/>
              <w:spacing w:before="0" w:after="283"/>
              <w:jc w:val="left"/>
              <w:rPr>
                <w:sz w:val="4"/>
                <w:szCs w:val="4"/>
              </w:rPr>
            </w:pPr>
            <w:r>
              <w:rPr>
                <w:sz w:val="4"/>
                <w:szCs w:val="4"/>
              </w:rPr>
            </w:r>
          </w:p>
        </w:tc>
      </w:tr>
      <w:tr>
        <w:trPr/>
        <w:tc>
          <w:tcPr>
            <w:tcW w:w="2982" w:type="dxa"/>
            <w:tcBorders/>
          </w:tcPr>
          <w:p>
            <w:pPr>
              <w:pStyle w:val="TableContents"/>
              <w:bidi w:val="0"/>
              <w:spacing w:before="0" w:after="283"/>
              <w:jc w:val="left"/>
              <w:rPr>
                <w:i/>
              </w:rPr>
            </w:pPr>
            <w:r>
              <w:rPr>
                <w:i/>
              </w:rPr>
              <w:t>Lender Representatives</w:t>
            </w:r>
          </w:p>
        </w:tc>
        <w:tc>
          <w:tcPr>
            <w:tcW w:w="121" w:type="dxa"/>
            <w:tcBorders/>
            <w:vAlign w:val="bottom"/>
          </w:tcPr>
          <w:p>
            <w:pPr>
              <w:pStyle w:val="TableContents"/>
              <w:bidi w:val="0"/>
              <w:spacing w:before="0" w:after="283"/>
              <w:jc w:val="left"/>
              <w:rPr/>
            </w:pPr>
            <w:r>
              <w:rPr/>
              <w:t>  </w:t>
            </w:r>
          </w:p>
        </w:tc>
        <w:tc>
          <w:tcPr>
            <w:tcW w:w="7102" w:type="dxa"/>
            <w:tcBorders/>
          </w:tcPr>
          <w:p>
            <w:pPr>
              <w:pStyle w:val="TableContents"/>
              <w:bidi w:val="0"/>
              <w:spacing w:before="0" w:after="283"/>
              <w:jc w:val="left"/>
              <w:rPr/>
            </w:pPr>
            <w:r>
              <w:rPr/>
              <w:t>The Class A Lender Representative and the Class B Lender Representative</w:t>
            </w:r>
          </w:p>
        </w:tc>
      </w:tr>
      <w:tr>
        <w:trPr>
          <w:trHeight w:val="120" w:hRule="atLeast"/>
        </w:trPr>
        <w:tc>
          <w:tcPr>
            <w:tcW w:w="2982" w:type="dxa"/>
            <w:tcBorders/>
            <w:vAlign w:val="center"/>
          </w:tcPr>
          <w:p>
            <w:pPr>
              <w:pStyle w:val="TableContents"/>
              <w:bidi w:val="0"/>
              <w:spacing w:before="0" w:after="283"/>
              <w:jc w:val="left"/>
              <w:rPr>
                <w:sz w:val="4"/>
                <w:szCs w:val="4"/>
              </w:rPr>
            </w:pPr>
            <w:r>
              <w:rPr>
                <w:sz w:val="4"/>
                <w:szCs w:val="4"/>
              </w:rPr>
            </w:r>
          </w:p>
        </w:tc>
        <w:tc>
          <w:tcPr>
            <w:tcW w:w="7223" w:type="dxa"/>
            <w:gridSpan w:val="2"/>
            <w:tcBorders/>
            <w:vAlign w:val="center"/>
          </w:tcPr>
          <w:p>
            <w:pPr>
              <w:pStyle w:val="TableContents"/>
              <w:bidi w:val="0"/>
              <w:spacing w:before="0" w:after="283"/>
              <w:jc w:val="left"/>
              <w:rPr>
                <w:sz w:val="4"/>
                <w:szCs w:val="4"/>
              </w:rPr>
            </w:pPr>
            <w:r>
              <w:rPr>
                <w:sz w:val="4"/>
                <w:szCs w:val="4"/>
              </w:rPr>
            </w:r>
          </w:p>
        </w:tc>
      </w:tr>
      <w:tr>
        <w:trPr/>
        <w:tc>
          <w:tcPr>
            <w:tcW w:w="2982" w:type="dxa"/>
            <w:tcBorders/>
          </w:tcPr>
          <w:p>
            <w:pPr>
              <w:pStyle w:val="TableContents"/>
              <w:bidi w:val="0"/>
              <w:spacing w:before="0" w:after="283"/>
              <w:jc w:val="left"/>
              <w:rPr>
                <w:i/>
              </w:rPr>
            </w:pPr>
            <w:r>
              <w:rPr>
                <w:i/>
              </w:rPr>
              <w:t>Lenders</w:t>
            </w:r>
          </w:p>
        </w:tc>
        <w:tc>
          <w:tcPr>
            <w:tcW w:w="121" w:type="dxa"/>
            <w:tcBorders/>
            <w:vAlign w:val="bottom"/>
          </w:tcPr>
          <w:p>
            <w:pPr>
              <w:pStyle w:val="TableContents"/>
              <w:bidi w:val="0"/>
              <w:spacing w:before="0" w:after="283"/>
              <w:jc w:val="left"/>
              <w:rPr/>
            </w:pPr>
            <w:r>
              <w:rPr/>
              <w:t>  </w:t>
            </w:r>
          </w:p>
        </w:tc>
        <w:tc>
          <w:tcPr>
            <w:tcW w:w="7102" w:type="dxa"/>
            <w:tcBorders/>
          </w:tcPr>
          <w:p>
            <w:pPr>
              <w:pStyle w:val="TableContents"/>
              <w:bidi w:val="0"/>
              <w:spacing w:before="0" w:after="283"/>
              <w:jc w:val="left"/>
              <w:rPr/>
            </w:pPr>
            <w:r>
              <w:rPr/>
              <w:t>The Class A Lender and the Class B Lenders</w:t>
            </w:r>
          </w:p>
        </w:tc>
      </w:tr>
      <w:tr>
        <w:trPr>
          <w:trHeight w:val="120" w:hRule="atLeast"/>
        </w:trPr>
        <w:tc>
          <w:tcPr>
            <w:tcW w:w="2982" w:type="dxa"/>
            <w:tcBorders/>
            <w:vAlign w:val="center"/>
          </w:tcPr>
          <w:p>
            <w:pPr>
              <w:pStyle w:val="TableContents"/>
              <w:bidi w:val="0"/>
              <w:spacing w:before="0" w:after="283"/>
              <w:jc w:val="left"/>
              <w:rPr>
                <w:sz w:val="4"/>
                <w:szCs w:val="4"/>
              </w:rPr>
            </w:pPr>
            <w:r>
              <w:rPr>
                <w:sz w:val="4"/>
                <w:szCs w:val="4"/>
              </w:rPr>
            </w:r>
          </w:p>
        </w:tc>
        <w:tc>
          <w:tcPr>
            <w:tcW w:w="7223" w:type="dxa"/>
            <w:gridSpan w:val="2"/>
            <w:tcBorders/>
            <w:vAlign w:val="center"/>
          </w:tcPr>
          <w:p>
            <w:pPr>
              <w:pStyle w:val="TableContents"/>
              <w:bidi w:val="0"/>
              <w:spacing w:before="0" w:after="283"/>
              <w:jc w:val="left"/>
              <w:rPr>
                <w:sz w:val="4"/>
                <w:szCs w:val="4"/>
              </w:rPr>
            </w:pPr>
            <w:r>
              <w:rPr>
                <w:sz w:val="4"/>
                <w:szCs w:val="4"/>
              </w:rPr>
            </w:r>
          </w:p>
        </w:tc>
      </w:tr>
      <w:tr>
        <w:trPr/>
        <w:tc>
          <w:tcPr>
            <w:tcW w:w="2982" w:type="dxa"/>
            <w:tcBorders/>
          </w:tcPr>
          <w:p>
            <w:pPr>
              <w:pStyle w:val="TableContents"/>
              <w:bidi w:val="0"/>
              <w:spacing w:before="0" w:after="283"/>
              <w:jc w:val="left"/>
              <w:rPr>
                <w:i/>
              </w:rPr>
            </w:pPr>
            <w:r>
              <w:rPr>
                <w:i/>
              </w:rPr>
              <w:t>MB</w:t>
            </w:r>
          </w:p>
        </w:tc>
        <w:tc>
          <w:tcPr>
            <w:tcW w:w="121" w:type="dxa"/>
            <w:tcBorders/>
            <w:vAlign w:val="bottom"/>
          </w:tcPr>
          <w:p>
            <w:pPr>
              <w:pStyle w:val="TableContents"/>
              <w:bidi w:val="0"/>
              <w:spacing w:before="0" w:after="283"/>
              <w:jc w:val="left"/>
              <w:rPr/>
            </w:pPr>
            <w:r>
              <w:rPr/>
              <w:t>  </w:t>
            </w:r>
          </w:p>
        </w:tc>
        <w:tc>
          <w:tcPr>
            <w:tcW w:w="7102" w:type="dxa"/>
            <w:tcBorders/>
          </w:tcPr>
          <w:p>
            <w:pPr>
              <w:pStyle w:val="TableContents"/>
              <w:bidi w:val="0"/>
              <w:spacing w:before="0" w:after="283"/>
              <w:jc w:val="left"/>
              <w:rPr/>
            </w:pPr>
            <w:r>
              <w:rPr/>
              <w:t>Mayer Brown LLP, special counsel to PNC and the Structuring Agent</w:t>
            </w:r>
          </w:p>
        </w:tc>
      </w:tr>
      <w:tr>
        <w:trPr>
          <w:trHeight w:val="120" w:hRule="atLeast"/>
        </w:trPr>
        <w:tc>
          <w:tcPr>
            <w:tcW w:w="2982" w:type="dxa"/>
            <w:tcBorders/>
            <w:vAlign w:val="center"/>
          </w:tcPr>
          <w:p>
            <w:pPr>
              <w:pStyle w:val="TableContents"/>
              <w:bidi w:val="0"/>
              <w:spacing w:before="0" w:after="283"/>
              <w:jc w:val="left"/>
              <w:rPr>
                <w:sz w:val="4"/>
                <w:szCs w:val="4"/>
              </w:rPr>
            </w:pPr>
            <w:r>
              <w:rPr>
                <w:sz w:val="4"/>
                <w:szCs w:val="4"/>
              </w:rPr>
            </w:r>
          </w:p>
        </w:tc>
        <w:tc>
          <w:tcPr>
            <w:tcW w:w="7223" w:type="dxa"/>
            <w:gridSpan w:val="2"/>
            <w:tcBorders/>
            <w:vAlign w:val="center"/>
          </w:tcPr>
          <w:p>
            <w:pPr>
              <w:pStyle w:val="TableContents"/>
              <w:bidi w:val="0"/>
              <w:spacing w:before="0" w:after="283"/>
              <w:jc w:val="left"/>
              <w:rPr>
                <w:sz w:val="4"/>
                <w:szCs w:val="4"/>
              </w:rPr>
            </w:pPr>
            <w:r>
              <w:rPr>
                <w:sz w:val="4"/>
                <w:szCs w:val="4"/>
              </w:rPr>
            </w:r>
          </w:p>
        </w:tc>
      </w:tr>
      <w:tr>
        <w:trPr/>
        <w:tc>
          <w:tcPr>
            <w:tcW w:w="2982" w:type="dxa"/>
            <w:tcBorders/>
          </w:tcPr>
          <w:p>
            <w:pPr>
              <w:pStyle w:val="TableContents"/>
              <w:bidi w:val="0"/>
              <w:spacing w:before="0" w:after="283"/>
              <w:jc w:val="left"/>
              <w:rPr>
                <w:i/>
              </w:rPr>
            </w:pPr>
            <w:r>
              <w:rPr>
                <w:i/>
              </w:rPr>
              <w:t>Originators</w:t>
            </w:r>
          </w:p>
        </w:tc>
        <w:tc>
          <w:tcPr>
            <w:tcW w:w="121" w:type="dxa"/>
            <w:tcBorders/>
            <w:vAlign w:val="bottom"/>
          </w:tcPr>
          <w:p>
            <w:pPr>
              <w:pStyle w:val="TableContents"/>
              <w:bidi w:val="0"/>
              <w:spacing w:before="0" w:after="283"/>
              <w:jc w:val="left"/>
              <w:rPr/>
            </w:pPr>
            <w:r>
              <w:rPr/>
              <w:t>  </w:t>
            </w:r>
          </w:p>
        </w:tc>
        <w:tc>
          <w:tcPr>
            <w:tcW w:w="7102" w:type="dxa"/>
            <w:tcBorders/>
          </w:tcPr>
          <w:p>
            <w:pPr>
              <w:pStyle w:val="TableContents"/>
              <w:bidi w:val="0"/>
              <w:spacing w:before="0" w:after="283"/>
              <w:jc w:val="left"/>
              <w:rPr/>
            </w:pPr>
            <w:r>
              <w:rPr/>
              <w:t>The entities listed on the following page as “U.S. Originators,” “UK Originators,” and “SG Originator,” each of which is a wholly-owned subsidiary of the Performance Guarantor</w:t>
            </w:r>
          </w:p>
        </w:tc>
      </w:tr>
      <w:tr>
        <w:trPr>
          <w:trHeight w:val="120" w:hRule="atLeast"/>
        </w:trPr>
        <w:tc>
          <w:tcPr>
            <w:tcW w:w="2982" w:type="dxa"/>
            <w:tcBorders/>
            <w:vAlign w:val="center"/>
          </w:tcPr>
          <w:p>
            <w:pPr>
              <w:pStyle w:val="TableContents"/>
              <w:bidi w:val="0"/>
              <w:spacing w:before="0" w:after="283"/>
              <w:jc w:val="left"/>
              <w:rPr>
                <w:sz w:val="4"/>
                <w:szCs w:val="4"/>
              </w:rPr>
            </w:pPr>
            <w:r>
              <w:rPr>
                <w:sz w:val="4"/>
                <w:szCs w:val="4"/>
              </w:rPr>
            </w:r>
          </w:p>
        </w:tc>
        <w:tc>
          <w:tcPr>
            <w:tcW w:w="7223" w:type="dxa"/>
            <w:gridSpan w:val="2"/>
            <w:tcBorders/>
            <w:vAlign w:val="center"/>
          </w:tcPr>
          <w:p>
            <w:pPr>
              <w:pStyle w:val="TableContents"/>
              <w:bidi w:val="0"/>
              <w:spacing w:before="0" w:after="283"/>
              <w:jc w:val="left"/>
              <w:rPr>
                <w:sz w:val="4"/>
                <w:szCs w:val="4"/>
              </w:rPr>
            </w:pPr>
            <w:r>
              <w:rPr>
                <w:sz w:val="4"/>
                <w:szCs w:val="4"/>
              </w:rPr>
            </w:r>
          </w:p>
        </w:tc>
      </w:tr>
      <w:tr>
        <w:trPr/>
        <w:tc>
          <w:tcPr>
            <w:tcW w:w="2982" w:type="dxa"/>
            <w:tcBorders/>
          </w:tcPr>
          <w:p>
            <w:pPr>
              <w:pStyle w:val="TableContents"/>
              <w:bidi w:val="0"/>
              <w:spacing w:before="0" w:after="283"/>
              <w:jc w:val="left"/>
              <w:rPr>
                <w:i/>
              </w:rPr>
            </w:pPr>
            <w:r>
              <w:rPr>
                <w:i/>
              </w:rPr>
              <w:t>PW</w:t>
            </w:r>
          </w:p>
        </w:tc>
        <w:tc>
          <w:tcPr>
            <w:tcW w:w="121" w:type="dxa"/>
            <w:tcBorders/>
            <w:vAlign w:val="bottom"/>
          </w:tcPr>
          <w:p>
            <w:pPr>
              <w:pStyle w:val="TableContents"/>
              <w:bidi w:val="0"/>
              <w:spacing w:before="0" w:after="283"/>
              <w:jc w:val="left"/>
              <w:rPr/>
            </w:pPr>
            <w:r>
              <w:rPr/>
              <w:t>  </w:t>
            </w:r>
          </w:p>
        </w:tc>
        <w:tc>
          <w:tcPr>
            <w:tcW w:w="7102" w:type="dxa"/>
            <w:tcBorders/>
          </w:tcPr>
          <w:p>
            <w:pPr>
              <w:pStyle w:val="TableContents"/>
              <w:bidi w:val="0"/>
              <w:spacing w:before="0" w:after="283"/>
              <w:jc w:val="left"/>
              <w:rPr/>
            </w:pPr>
            <w:r>
              <w:rPr/>
              <w:t>Paul, Weiss, Rifkind, Wharton &amp; Garrison LLP, special counsel to the Class B Lender Representative</w:t>
            </w:r>
          </w:p>
        </w:tc>
      </w:tr>
      <w:tr>
        <w:trPr>
          <w:trHeight w:val="120" w:hRule="atLeast"/>
        </w:trPr>
        <w:tc>
          <w:tcPr>
            <w:tcW w:w="2982" w:type="dxa"/>
            <w:tcBorders/>
            <w:vAlign w:val="center"/>
          </w:tcPr>
          <w:p>
            <w:pPr>
              <w:pStyle w:val="TableContents"/>
              <w:bidi w:val="0"/>
              <w:spacing w:before="0" w:after="283"/>
              <w:jc w:val="left"/>
              <w:rPr>
                <w:sz w:val="4"/>
                <w:szCs w:val="4"/>
              </w:rPr>
            </w:pPr>
            <w:r>
              <w:rPr>
                <w:sz w:val="4"/>
                <w:szCs w:val="4"/>
              </w:rPr>
            </w:r>
          </w:p>
        </w:tc>
        <w:tc>
          <w:tcPr>
            <w:tcW w:w="7223" w:type="dxa"/>
            <w:gridSpan w:val="2"/>
            <w:tcBorders/>
            <w:vAlign w:val="center"/>
          </w:tcPr>
          <w:p>
            <w:pPr>
              <w:pStyle w:val="TableContents"/>
              <w:bidi w:val="0"/>
              <w:spacing w:before="0" w:after="283"/>
              <w:jc w:val="left"/>
              <w:rPr>
                <w:sz w:val="4"/>
                <w:szCs w:val="4"/>
              </w:rPr>
            </w:pPr>
            <w:r>
              <w:rPr>
                <w:sz w:val="4"/>
                <w:szCs w:val="4"/>
              </w:rPr>
            </w:r>
          </w:p>
        </w:tc>
      </w:tr>
      <w:tr>
        <w:trPr/>
        <w:tc>
          <w:tcPr>
            <w:tcW w:w="2982" w:type="dxa"/>
            <w:tcBorders/>
          </w:tcPr>
          <w:p>
            <w:pPr>
              <w:pStyle w:val="TableContents"/>
              <w:bidi w:val="0"/>
              <w:spacing w:before="0" w:after="283"/>
              <w:jc w:val="left"/>
              <w:rPr>
                <w:i/>
              </w:rPr>
            </w:pPr>
            <w:r>
              <w:rPr>
                <w:i/>
              </w:rPr>
              <w:t>Performance Guarantor</w:t>
            </w:r>
          </w:p>
        </w:tc>
        <w:tc>
          <w:tcPr>
            <w:tcW w:w="121" w:type="dxa"/>
            <w:tcBorders/>
            <w:vAlign w:val="bottom"/>
          </w:tcPr>
          <w:p>
            <w:pPr>
              <w:pStyle w:val="TableContents"/>
              <w:bidi w:val="0"/>
              <w:spacing w:before="0" w:after="283"/>
              <w:jc w:val="left"/>
              <w:rPr/>
            </w:pPr>
            <w:r>
              <w:rPr/>
              <w:t>  </w:t>
            </w:r>
          </w:p>
        </w:tc>
        <w:tc>
          <w:tcPr>
            <w:tcW w:w="7102" w:type="dxa"/>
            <w:tcBorders/>
          </w:tcPr>
          <w:p>
            <w:pPr>
              <w:pStyle w:val="TableContents"/>
              <w:bidi w:val="0"/>
              <w:spacing w:before="0" w:after="283"/>
              <w:jc w:val="left"/>
              <w:rPr/>
            </w:pPr>
            <w:r>
              <w:rPr/>
              <w:t>Sabre</w:t>
            </w:r>
          </w:p>
        </w:tc>
      </w:tr>
      <w:tr>
        <w:trPr>
          <w:trHeight w:val="120" w:hRule="atLeast"/>
        </w:trPr>
        <w:tc>
          <w:tcPr>
            <w:tcW w:w="2982" w:type="dxa"/>
            <w:tcBorders/>
            <w:vAlign w:val="center"/>
          </w:tcPr>
          <w:p>
            <w:pPr>
              <w:pStyle w:val="TableContents"/>
              <w:bidi w:val="0"/>
              <w:spacing w:before="0" w:after="283"/>
              <w:jc w:val="left"/>
              <w:rPr>
                <w:sz w:val="4"/>
                <w:szCs w:val="4"/>
              </w:rPr>
            </w:pPr>
            <w:r>
              <w:rPr>
                <w:sz w:val="4"/>
                <w:szCs w:val="4"/>
              </w:rPr>
            </w:r>
          </w:p>
        </w:tc>
        <w:tc>
          <w:tcPr>
            <w:tcW w:w="7223" w:type="dxa"/>
            <w:gridSpan w:val="2"/>
            <w:tcBorders/>
            <w:vAlign w:val="center"/>
          </w:tcPr>
          <w:p>
            <w:pPr>
              <w:pStyle w:val="TableContents"/>
              <w:bidi w:val="0"/>
              <w:spacing w:before="0" w:after="283"/>
              <w:jc w:val="left"/>
              <w:rPr>
                <w:sz w:val="4"/>
                <w:szCs w:val="4"/>
              </w:rPr>
            </w:pPr>
            <w:r>
              <w:rPr>
                <w:sz w:val="4"/>
                <w:szCs w:val="4"/>
              </w:rPr>
            </w:r>
          </w:p>
        </w:tc>
      </w:tr>
      <w:tr>
        <w:trPr/>
        <w:tc>
          <w:tcPr>
            <w:tcW w:w="2982" w:type="dxa"/>
            <w:tcBorders/>
          </w:tcPr>
          <w:p>
            <w:pPr>
              <w:pStyle w:val="TableContents"/>
              <w:bidi w:val="0"/>
              <w:spacing w:before="0" w:after="283"/>
              <w:jc w:val="left"/>
              <w:rPr>
                <w:i/>
              </w:rPr>
            </w:pPr>
            <w:r>
              <w:rPr>
                <w:i/>
              </w:rPr>
              <w:t>Pledgor</w:t>
            </w:r>
          </w:p>
        </w:tc>
        <w:tc>
          <w:tcPr>
            <w:tcW w:w="121" w:type="dxa"/>
            <w:tcBorders/>
            <w:vAlign w:val="bottom"/>
          </w:tcPr>
          <w:p>
            <w:pPr>
              <w:pStyle w:val="TableContents"/>
              <w:bidi w:val="0"/>
              <w:spacing w:before="0" w:after="283"/>
              <w:jc w:val="left"/>
              <w:rPr/>
            </w:pPr>
            <w:r>
              <w:rPr/>
              <w:t>  </w:t>
            </w:r>
          </w:p>
        </w:tc>
        <w:tc>
          <w:tcPr>
            <w:tcW w:w="7102" w:type="dxa"/>
            <w:tcBorders/>
          </w:tcPr>
          <w:p>
            <w:pPr>
              <w:pStyle w:val="TableContents"/>
              <w:bidi w:val="0"/>
              <w:spacing w:before="0" w:after="283"/>
              <w:jc w:val="left"/>
              <w:rPr/>
            </w:pPr>
            <w:r>
              <w:rPr/>
              <w:t>Sabre GLBL Inc.</w:t>
            </w:r>
          </w:p>
        </w:tc>
      </w:tr>
      <w:tr>
        <w:trPr>
          <w:trHeight w:val="120" w:hRule="atLeast"/>
        </w:trPr>
        <w:tc>
          <w:tcPr>
            <w:tcW w:w="2982" w:type="dxa"/>
            <w:tcBorders/>
            <w:vAlign w:val="center"/>
          </w:tcPr>
          <w:p>
            <w:pPr>
              <w:pStyle w:val="TableContents"/>
              <w:bidi w:val="0"/>
              <w:spacing w:before="0" w:after="283"/>
              <w:jc w:val="left"/>
              <w:rPr>
                <w:sz w:val="4"/>
                <w:szCs w:val="4"/>
              </w:rPr>
            </w:pPr>
            <w:r>
              <w:rPr>
                <w:sz w:val="4"/>
                <w:szCs w:val="4"/>
              </w:rPr>
            </w:r>
          </w:p>
        </w:tc>
        <w:tc>
          <w:tcPr>
            <w:tcW w:w="7223" w:type="dxa"/>
            <w:gridSpan w:val="2"/>
            <w:tcBorders/>
            <w:vAlign w:val="center"/>
          </w:tcPr>
          <w:p>
            <w:pPr>
              <w:pStyle w:val="TableContents"/>
              <w:bidi w:val="0"/>
              <w:spacing w:before="0" w:after="283"/>
              <w:jc w:val="left"/>
              <w:rPr>
                <w:sz w:val="4"/>
                <w:szCs w:val="4"/>
              </w:rPr>
            </w:pPr>
            <w:r>
              <w:rPr>
                <w:sz w:val="4"/>
                <w:szCs w:val="4"/>
              </w:rPr>
            </w:r>
          </w:p>
        </w:tc>
      </w:tr>
      <w:tr>
        <w:trPr/>
        <w:tc>
          <w:tcPr>
            <w:tcW w:w="2982" w:type="dxa"/>
            <w:tcBorders/>
          </w:tcPr>
          <w:p>
            <w:pPr>
              <w:pStyle w:val="TableContents"/>
              <w:bidi w:val="0"/>
              <w:spacing w:before="0" w:after="283"/>
              <w:jc w:val="left"/>
              <w:rPr>
                <w:i/>
              </w:rPr>
            </w:pPr>
            <w:r>
              <w:rPr>
                <w:i/>
              </w:rPr>
              <w:t>PNC</w:t>
            </w:r>
          </w:p>
        </w:tc>
        <w:tc>
          <w:tcPr>
            <w:tcW w:w="121" w:type="dxa"/>
            <w:tcBorders/>
            <w:vAlign w:val="bottom"/>
          </w:tcPr>
          <w:p>
            <w:pPr>
              <w:pStyle w:val="TableContents"/>
              <w:bidi w:val="0"/>
              <w:spacing w:before="0" w:after="283"/>
              <w:jc w:val="left"/>
              <w:rPr/>
            </w:pPr>
            <w:r>
              <w:rPr/>
              <w:t>  </w:t>
            </w:r>
          </w:p>
        </w:tc>
        <w:tc>
          <w:tcPr>
            <w:tcW w:w="7102" w:type="dxa"/>
            <w:tcBorders/>
          </w:tcPr>
          <w:p>
            <w:pPr>
              <w:pStyle w:val="TableContents"/>
              <w:bidi w:val="0"/>
              <w:spacing w:before="0" w:after="283"/>
              <w:jc w:val="left"/>
              <w:rPr/>
            </w:pPr>
            <w:r>
              <w:rPr/>
              <w:t>PNC Bank, National Association</w:t>
            </w:r>
          </w:p>
        </w:tc>
      </w:tr>
      <w:tr>
        <w:trPr>
          <w:trHeight w:val="120" w:hRule="atLeast"/>
        </w:trPr>
        <w:tc>
          <w:tcPr>
            <w:tcW w:w="2982" w:type="dxa"/>
            <w:tcBorders/>
            <w:vAlign w:val="center"/>
          </w:tcPr>
          <w:p>
            <w:pPr>
              <w:pStyle w:val="TableContents"/>
              <w:bidi w:val="0"/>
              <w:spacing w:before="0" w:after="283"/>
              <w:jc w:val="left"/>
              <w:rPr>
                <w:sz w:val="4"/>
                <w:szCs w:val="4"/>
              </w:rPr>
            </w:pPr>
            <w:r>
              <w:rPr>
                <w:sz w:val="4"/>
                <w:szCs w:val="4"/>
              </w:rPr>
            </w:r>
          </w:p>
        </w:tc>
        <w:tc>
          <w:tcPr>
            <w:tcW w:w="7223" w:type="dxa"/>
            <w:gridSpan w:val="2"/>
            <w:tcBorders/>
            <w:vAlign w:val="center"/>
          </w:tcPr>
          <w:p>
            <w:pPr>
              <w:pStyle w:val="TableContents"/>
              <w:bidi w:val="0"/>
              <w:spacing w:before="0" w:after="283"/>
              <w:jc w:val="left"/>
              <w:rPr>
                <w:sz w:val="4"/>
                <w:szCs w:val="4"/>
              </w:rPr>
            </w:pPr>
            <w:r>
              <w:rPr>
                <w:sz w:val="4"/>
                <w:szCs w:val="4"/>
              </w:rPr>
            </w:r>
          </w:p>
        </w:tc>
      </w:tr>
      <w:tr>
        <w:trPr/>
        <w:tc>
          <w:tcPr>
            <w:tcW w:w="2982" w:type="dxa"/>
            <w:tcBorders/>
          </w:tcPr>
          <w:p>
            <w:pPr>
              <w:pStyle w:val="TableContents"/>
              <w:bidi w:val="0"/>
              <w:spacing w:before="0" w:after="283"/>
              <w:jc w:val="left"/>
              <w:rPr>
                <w:i/>
              </w:rPr>
            </w:pPr>
            <w:r>
              <w:rPr>
                <w:i/>
              </w:rPr>
              <w:t>Process Agent</w:t>
            </w:r>
          </w:p>
        </w:tc>
        <w:tc>
          <w:tcPr>
            <w:tcW w:w="121" w:type="dxa"/>
            <w:tcBorders/>
            <w:vAlign w:val="bottom"/>
          </w:tcPr>
          <w:p>
            <w:pPr>
              <w:pStyle w:val="TableContents"/>
              <w:bidi w:val="0"/>
              <w:spacing w:before="0" w:after="283"/>
              <w:jc w:val="left"/>
              <w:rPr/>
            </w:pPr>
            <w:r>
              <w:rPr/>
              <w:t>  </w:t>
            </w:r>
          </w:p>
        </w:tc>
        <w:tc>
          <w:tcPr>
            <w:tcW w:w="7102" w:type="dxa"/>
            <w:tcBorders/>
          </w:tcPr>
          <w:p>
            <w:pPr>
              <w:pStyle w:val="TableContents"/>
              <w:bidi w:val="0"/>
              <w:spacing w:before="0" w:after="283"/>
              <w:jc w:val="left"/>
              <w:rPr/>
            </w:pPr>
            <w:r>
              <w:rPr/>
              <w:t>Sabre Asia Pacific Pte. Ltd.</w:t>
            </w:r>
          </w:p>
        </w:tc>
      </w:tr>
      <w:tr>
        <w:trPr>
          <w:trHeight w:val="120" w:hRule="atLeast"/>
        </w:trPr>
        <w:tc>
          <w:tcPr>
            <w:tcW w:w="2982" w:type="dxa"/>
            <w:tcBorders/>
            <w:vAlign w:val="center"/>
          </w:tcPr>
          <w:p>
            <w:pPr>
              <w:pStyle w:val="TableContents"/>
              <w:bidi w:val="0"/>
              <w:spacing w:before="0" w:after="283"/>
              <w:jc w:val="left"/>
              <w:rPr>
                <w:sz w:val="4"/>
                <w:szCs w:val="4"/>
              </w:rPr>
            </w:pPr>
            <w:r>
              <w:rPr>
                <w:sz w:val="4"/>
                <w:szCs w:val="4"/>
              </w:rPr>
            </w:r>
          </w:p>
        </w:tc>
        <w:tc>
          <w:tcPr>
            <w:tcW w:w="7223" w:type="dxa"/>
            <w:gridSpan w:val="2"/>
            <w:tcBorders/>
            <w:vAlign w:val="center"/>
          </w:tcPr>
          <w:p>
            <w:pPr>
              <w:pStyle w:val="TableContents"/>
              <w:bidi w:val="0"/>
              <w:spacing w:before="0" w:after="283"/>
              <w:jc w:val="left"/>
              <w:rPr>
                <w:sz w:val="4"/>
                <w:szCs w:val="4"/>
              </w:rPr>
            </w:pPr>
            <w:r>
              <w:rPr>
                <w:sz w:val="4"/>
                <w:szCs w:val="4"/>
              </w:rPr>
            </w:r>
          </w:p>
        </w:tc>
      </w:tr>
      <w:tr>
        <w:trPr/>
        <w:tc>
          <w:tcPr>
            <w:tcW w:w="2982" w:type="dxa"/>
            <w:tcBorders/>
          </w:tcPr>
          <w:p>
            <w:pPr>
              <w:pStyle w:val="TableContents"/>
              <w:bidi w:val="0"/>
              <w:spacing w:before="0" w:after="283"/>
              <w:jc w:val="left"/>
              <w:rPr>
                <w:i/>
              </w:rPr>
            </w:pPr>
            <w:r>
              <w:rPr>
                <w:i/>
              </w:rPr>
              <w:t>Sabre</w:t>
            </w:r>
          </w:p>
        </w:tc>
        <w:tc>
          <w:tcPr>
            <w:tcW w:w="121" w:type="dxa"/>
            <w:tcBorders/>
            <w:vAlign w:val="bottom"/>
          </w:tcPr>
          <w:p>
            <w:pPr>
              <w:pStyle w:val="TableContents"/>
              <w:bidi w:val="0"/>
              <w:spacing w:before="0" w:after="283"/>
              <w:jc w:val="left"/>
              <w:rPr/>
            </w:pPr>
            <w:r>
              <w:rPr/>
              <w:t>  </w:t>
            </w:r>
          </w:p>
        </w:tc>
        <w:tc>
          <w:tcPr>
            <w:tcW w:w="7102" w:type="dxa"/>
            <w:tcBorders/>
          </w:tcPr>
          <w:p>
            <w:pPr>
              <w:pStyle w:val="TableContents"/>
              <w:bidi w:val="0"/>
              <w:spacing w:before="0" w:after="283"/>
              <w:jc w:val="left"/>
              <w:rPr/>
            </w:pPr>
            <w:r>
              <w:rPr/>
              <w:t>Sabre Corporation, a Delaware corporation</w:t>
            </w:r>
          </w:p>
        </w:tc>
      </w:tr>
      <w:tr>
        <w:trPr>
          <w:trHeight w:val="120" w:hRule="atLeast"/>
        </w:trPr>
        <w:tc>
          <w:tcPr>
            <w:tcW w:w="2982" w:type="dxa"/>
            <w:tcBorders/>
            <w:vAlign w:val="center"/>
          </w:tcPr>
          <w:p>
            <w:pPr>
              <w:pStyle w:val="TableContents"/>
              <w:bidi w:val="0"/>
              <w:spacing w:before="0" w:after="283"/>
              <w:jc w:val="left"/>
              <w:rPr>
                <w:sz w:val="4"/>
                <w:szCs w:val="4"/>
              </w:rPr>
            </w:pPr>
            <w:r>
              <w:rPr>
                <w:sz w:val="4"/>
                <w:szCs w:val="4"/>
              </w:rPr>
            </w:r>
          </w:p>
        </w:tc>
        <w:tc>
          <w:tcPr>
            <w:tcW w:w="7223" w:type="dxa"/>
            <w:gridSpan w:val="2"/>
            <w:tcBorders/>
            <w:vAlign w:val="center"/>
          </w:tcPr>
          <w:p>
            <w:pPr>
              <w:pStyle w:val="TableContents"/>
              <w:bidi w:val="0"/>
              <w:spacing w:before="0" w:after="283"/>
              <w:jc w:val="left"/>
              <w:rPr>
                <w:sz w:val="4"/>
                <w:szCs w:val="4"/>
              </w:rPr>
            </w:pPr>
            <w:r>
              <w:rPr>
                <w:sz w:val="4"/>
                <w:szCs w:val="4"/>
              </w:rPr>
            </w:r>
          </w:p>
        </w:tc>
      </w:tr>
      <w:tr>
        <w:trPr/>
        <w:tc>
          <w:tcPr>
            <w:tcW w:w="2982" w:type="dxa"/>
            <w:tcBorders/>
          </w:tcPr>
          <w:p>
            <w:pPr>
              <w:pStyle w:val="TableContents"/>
              <w:bidi w:val="0"/>
              <w:spacing w:before="0" w:after="283"/>
              <w:jc w:val="left"/>
              <w:rPr>
                <w:i/>
              </w:rPr>
            </w:pPr>
            <w:r>
              <w:rPr>
                <w:i/>
              </w:rPr>
              <w:t>Sabre NY Counsel</w:t>
            </w:r>
          </w:p>
        </w:tc>
        <w:tc>
          <w:tcPr>
            <w:tcW w:w="121" w:type="dxa"/>
            <w:tcBorders/>
            <w:vAlign w:val="bottom"/>
          </w:tcPr>
          <w:p>
            <w:pPr>
              <w:pStyle w:val="TableContents"/>
              <w:bidi w:val="0"/>
              <w:spacing w:before="0" w:after="283"/>
              <w:jc w:val="left"/>
              <w:rPr/>
            </w:pPr>
            <w:r>
              <w:rPr/>
              <w:t>  </w:t>
            </w:r>
          </w:p>
        </w:tc>
        <w:tc>
          <w:tcPr>
            <w:tcW w:w="7102" w:type="dxa"/>
            <w:tcBorders/>
          </w:tcPr>
          <w:p>
            <w:pPr>
              <w:pStyle w:val="TableContents"/>
              <w:bidi w:val="0"/>
              <w:spacing w:before="0" w:after="283"/>
              <w:jc w:val="left"/>
              <w:rPr/>
            </w:pPr>
            <w:r>
              <w:rPr/>
              <w:t>Davis, Polk &amp; Wardwell LLP, NY special counsel to the Sabre Parties</w:t>
            </w:r>
          </w:p>
        </w:tc>
      </w:tr>
      <w:tr>
        <w:trPr>
          <w:trHeight w:val="120" w:hRule="atLeast"/>
        </w:trPr>
        <w:tc>
          <w:tcPr>
            <w:tcW w:w="2982" w:type="dxa"/>
            <w:tcBorders/>
            <w:vAlign w:val="center"/>
          </w:tcPr>
          <w:p>
            <w:pPr>
              <w:pStyle w:val="TableContents"/>
              <w:bidi w:val="0"/>
              <w:spacing w:before="0" w:after="283"/>
              <w:jc w:val="left"/>
              <w:rPr>
                <w:sz w:val="4"/>
                <w:szCs w:val="4"/>
              </w:rPr>
            </w:pPr>
            <w:r>
              <w:rPr>
                <w:sz w:val="4"/>
                <w:szCs w:val="4"/>
              </w:rPr>
            </w:r>
          </w:p>
        </w:tc>
        <w:tc>
          <w:tcPr>
            <w:tcW w:w="7223" w:type="dxa"/>
            <w:gridSpan w:val="2"/>
            <w:tcBorders/>
            <w:vAlign w:val="center"/>
          </w:tcPr>
          <w:p>
            <w:pPr>
              <w:pStyle w:val="TableContents"/>
              <w:bidi w:val="0"/>
              <w:spacing w:before="0" w:after="283"/>
              <w:jc w:val="left"/>
              <w:rPr>
                <w:sz w:val="4"/>
                <w:szCs w:val="4"/>
              </w:rPr>
            </w:pPr>
            <w:r>
              <w:rPr>
                <w:sz w:val="4"/>
                <w:szCs w:val="4"/>
              </w:rPr>
            </w:r>
          </w:p>
        </w:tc>
      </w:tr>
      <w:tr>
        <w:trPr/>
        <w:tc>
          <w:tcPr>
            <w:tcW w:w="2982" w:type="dxa"/>
            <w:tcBorders/>
          </w:tcPr>
          <w:p>
            <w:pPr>
              <w:pStyle w:val="TableContents"/>
              <w:bidi w:val="0"/>
              <w:spacing w:before="0" w:after="283"/>
              <w:jc w:val="left"/>
              <w:rPr>
                <w:i/>
              </w:rPr>
            </w:pPr>
            <w:r>
              <w:rPr>
                <w:i/>
              </w:rPr>
              <w:t>Sabre SG Counsel</w:t>
            </w:r>
          </w:p>
        </w:tc>
        <w:tc>
          <w:tcPr>
            <w:tcW w:w="121" w:type="dxa"/>
            <w:tcBorders/>
            <w:vAlign w:val="bottom"/>
          </w:tcPr>
          <w:p>
            <w:pPr>
              <w:pStyle w:val="TableContents"/>
              <w:bidi w:val="0"/>
              <w:spacing w:before="0" w:after="283"/>
              <w:jc w:val="left"/>
              <w:rPr/>
            </w:pPr>
            <w:r>
              <w:rPr/>
              <w:t>  </w:t>
            </w:r>
          </w:p>
        </w:tc>
        <w:tc>
          <w:tcPr>
            <w:tcW w:w="7102" w:type="dxa"/>
            <w:tcBorders/>
          </w:tcPr>
          <w:p>
            <w:pPr>
              <w:pStyle w:val="TableContents"/>
              <w:bidi w:val="0"/>
              <w:spacing w:before="0" w:after="283"/>
              <w:jc w:val="left"/>
              <w:rPr/>
            </w:pPr>
            <w:r>
              <w:rPr/>
              <w:t>Norton Rose Fulbright (Asia) LLP, Singapore special counsel to the Sabre Parties</w:t>
            </w:r>
          </w:p>
        </w:tc>
      </w:tr>
      <w:tr>
        <w:trPr>
          <w:trHeight w:val="120" w:hRule="atLeast"/>
        </w:trPr>
        <w:tc>
          <w:tcPr>
            <w:tcW w:w="2982" w:type="dxa"/>
            <w:tcBorders/>
            <w:vAlign w:val="center"/>
          </w:tcPr>
          <w:p>
            <w:pPr>
              <w:pStyle w:val="TableContents"/>
              <w:bidi w:val="0"/>
              <w:spacing w:before="0" w:after="283"/>
              <w:jc w:val="left"/>
              <w:rPr>
                <w:sz w:val="4"/>
                <w:szCs w:val="4"/>
              </w:rPr>
            </w:pPr>
            <w:r>
              <w:rPr>
                <w:sz w:val="4"/>
                <w:szCs w:val="4"/>
              </w:rPr>
            </w:r>
          </w:p>
        </w:tc>
        <w:tc>
          <w:tcPr>
            <w:tcW w:w="7223" w:type="dxa"/>
            <w:gridSpan w:val="2"/>
            <w:tcBorders/>
            <w:vAlign w:val="center"/>
          </w:tcPr>
          <w:p>
            <w:pPr>
              <w:pStyle w:val="TableContents"/>
              <w:bidi w:val="0"/>
              <w:spacing w:before="0" w:after="283"/>
              <w:jc w:val="left"/>
              <w:rPr>
                <w:sz w:val="4"/>
                <w:szCs w:val="4"/>
              </w:rPr>
            </w:pPr>
            <w:r>
              <w:rPr>
                <w:sz w:val="4"/>
                <w:szCs w:val="4"/>
              </w:rPr>
            </w:r>
          </w:p>
        </w:tc>
      </w:tr>
      <w:tr>
        <w:trPr/>
        <w:tc>
          <w:tcPr>
            <w:tcW w:w="2982" w:type="dxa"/>
            <w:tcBorders/>
          </w:tcPr>
          <w:p>
            <w:pPr>
              <w:pStyle w:val="TableContents"/>
              <w:bidi w:val="0"/>
              <w:spacing w:before="0" w:after="283"/>
              <w:jc w:val="left"/>
              <w:rPr>
                <w:i/>
              </w:rPr>
            </w:pPr>
            <w:r>
              <w:rPr>
                <w:i/>
              </w:rPr>
              <w:t>Sabre DE Counsel</w:t>
            </w:r>
          </w:p>
        </w:tc>
        <w:tc>
          <w:tcPr>
            <w:tcW w:w="121" w:type="dxa"/>
            <w:tcBorders/>
            <w:vAlign w:val="bottom"/>
          </w:tcPr>
          <w:p>
            <w:pPr>
              <w:pStyle w:val="TableContents"/>
              <w:bidi w:val="0"/>
              <w:spacing w:before="0" w:after="283"/>
              <w:jc w:val="left"/>
              <w:rPr/>
            </w:pPr>
            <w:r>
              <w:rPr/>
              <w:t>  </w:t>
            </w:r>
          </w:p>
        </w:tc>
        <w:tc>
          <w:tcPr>
            <w:tcW w:w="7102" w:type="dxa"/>
            <w:tcBorders/>
          </w:tcPr>
          <w:p>
            <w:pPr>
              <w:pStyle w:val="TableContents"/>
              <w:bidi w:val="0"/>
              <w:spacing w:before="0" w:after="283"/>
              <w:jc w:val="left"/>
              <w:rPr/>
            </w:pPr>
            <w:r>
              <w:rPr/>
              <w:t>Morris, Nichols, Arsht &amp; Tunnell LLP, DE special counsel to the Sabre Parties</w:t>
            </w:r>
          </w:p>
        </w:tc>
      </w:tr>
      <w:tr>
        <w:trPr>
          <w:trHeight w:val="120" w:hRule="atLeast"/>
        </w:trPr>
        <w:tc>
          <w:tcPr>
            <w:tcW w:w="2982" w:type="dxa"/>
            <w:tcBorders/>
            <w:vAlign w:val="center"/>
          </w:tcPr>
          <w:p>
            <w:pPr>
              <w:pStyle w:val="TableContents"/>
              <w:bidi w:val="0"/>
              <w:spacing w:before="0" w:after="283"/>
              <w:jc w:val="left"/>
              <w:rPr>
                <w:sz w:val="4"/>
                <w:szCs w:val="4"/>
              </w:rPr>
            </w:pPr>
            <w:r>
              <w:rPr>
                <w:sz w:val="4"/>
                <w:szCs w:val="4"/>
              </w:rPr>
            </w:r>
          </w:p>
        </w:tc>
        <w:tc>
          <w:tcPr>
            <w:tcW w:w="7223" w:type="dxa"/>
            <w:gridSpan w:val="2"/>
            <w:tcBorders/>
            <w:vAlign w:val="center"/>
          </w:tcPr>
          <w:p>
            <w:pPr>
              <w:pStyle w:val="TableContents"/>
              <w:bidi w:val="0"/>
              <w:spacing w:before="0" w:after="283"/>
              <w:jc w:val="left"/>
              <w:rPr>
                <w:sz w:val="4"/>
                <w:szCs w:val="4"/>
              </w:rPr>
            </w:pPr>
            <w:r>
              <w:rPr>
                <w:sz w:val="4"/>
                <w:szCs w:val="4"/>
              </w:rPr>
            </w:r>
          </w:p>
        </w:tc>
      </w:tr>
      <w:tr>
        <w:trPr/>
        <w:tc>
          <w:tcPr>
            <w:tcW w:w="2982" w:type="dxa"/>
            <w:tcBorders/>
          </w:tcPr>
          <w:p>
            <w:pPr>
              <w:pStyle w:val="TableContents"/>
              <w:bidi w:val="0"/>
              <w:spacing w:before="0" w:after="283"/>
              <w:jc w:val="left"/>
              <w:rPr>
                <w:i/>
              </w:rPr>
            </w:pPr>
            <w:r>
              <w:rPr>
                <w:i/>
              </w:rPr>
              <w:t>Sabre Counsel</w:t>
            </w:r>
          </w:p>
        </w:tc>
        <w:tc>
          <w:tcPr>
            <w:tcW w:w="121" w:type="dxa"/>
            <w:tcBorders/>
            <w:vAlign w:val="bottom"/>
          </w:tcPr>
          <w:p>
            <w:pPr>
              <w:pStyle w:val="TableContents"/>
              <w:bidi w:val="0"/>
              <w:spacing w:before="0" w:after="283"/>
              <w:jc w:val="left"/>
              <w:rPr/>
            </w:pPr>
            <w:r>
              <w:rPr/>
              <w:t>  </w:t>
            </w:r>
          </w:p>
        </w:tc>
        <w:tc>
          <w:tcPr>
            <w:tcW w:w="7102" w:type="dxa"/>
            <w:tcBorders/>
          </w:tcPr>
          <w:p>
            <w:pPr>
              <w:pStyle w:val="TableContents"/>
              <w:bidi w:val="0"/>
              <w:spacing w:before="0" w:after="283"/>
              <w:jc w:val="left"/>
              <w:rPr/>
            </w:pPr>
            <w:r>
              <w:rPr/>
              <w:t>Sabre NY Counsel, Sabre SG Counsel and Sabre DE Counsel</w:t>
            </w:r>
          </w:p>
        </w:tc>
      </w:tr>
      <w:tr>
        <w:trPr>
          <w:trHeight w:val="120" w:hRule="atLeast"/>
        </w:trPr>
        <w:tc>
          <w:tcPr>
            <w:tcW w:w="2982" w:type="dxa"/>
            <w:tcBorders/>
            <w:vAlign w:val="center"/>
          </w:tcPr>
          <w:p>
            <w:pPr>
              <w:pStyle w:val="TableContents"/>
              <w:bidi w:val="0"/>
              <w:spacing w:before="0" w:after="283"/>
              <w:jc w:val="left"/>
              <w:rPr>
                <w:sz w:val="4"/>
                <w:szCs w:val="4"/>
              </w:rPr>
            </w:pPr>
            <w:r>
              <w:rPr>
                <w:sz w:val="4"/>
                <w:szCs w:val="4"/>
              </w:rPr>
            </w:r>
          </w:p>
        </w:tc>
        <w:tc>
          <w:tcPr>
            <w:tcW w:w="7223" w:type="dxa"/>
            <w:gridSpan w:val="2"/>
            <w:tcBorders/>
            <w:vAlign w:val="center"/>
          </w:tcPr>
          <w:p>
            <w:pPr>
              <w:pStyle w:val="TableContents"/>
              <w:bidi w:val="0"/>
              <w:spacing w:before="0" w:after="283"/>
              <w:jc w:val="left"/>
              <w:rPr>
                <w:sz w:val="4"/>
                <w:szCs w:val="4"/>
              </w:rPr>
            </w:pPr>
            <w:r>
              <w:rPr>
                <w:sz w:val="4"/>
                <w:szCs w:val="4"/>
              </w:rPr>
            </w:r>
          </w:p>
        </w:tc>
      </w:tr>
      <w:tr>
        <w:trPr/>
        <w:tc>
          <w:tcPr>
            <w:tcW w:w="2982" w:type="dxa"/>
            <w:tcBorders/>
          </w:tcPr>
          <w:p>
            <w:pPr>
              <w:pStyle w:val="TableContents"/>
              <w:bidi w:val="0"/>
              <w:spacing w:before="0" w:after="283"/>
              <w:jc w:val="left"/>
              <w:rPr>
                <w:i/>
              </w:rPr>
            </w:pPr>
            <w:r>
              <w:rPr>
                <w:i/>
              </w:rPr>
              <w:t>Sabre Parties</w:t>
            </w:r>
          </w:p>
        </w:tc>
        <w:tc>
          <w:tcPr>
            <w:tcW w:w="121" w:type="dxa"/>
            <w:tcBorders/>
            <w:vAlign w:val="bottom"/>
          </w:tcPr>
          <w:p>
            <w:pPr>
              <w:pStyle w:val="TableContents"/>
              <w:bidi w:val="0"/>
              <w:spacing w:before="0" w:after="283"/>
              <w:jc w:val="left"/>
              <w:rPr/>
            </w:pPr>
            <w:r>
              <w:rPr/>
              <w:t>  </w:t>
            </w:r>
          </w:p>
        </w:tc>
        <w:tc>
          <w:tcPr>
            <w:tcW w:w="7102" w:type="dxa"/>
            <w:tcBorders/>
          </w:tcPr>
          <w:p>
            <w:pPr>
              <w:pStyle w:val="TableContents"/>
              <w:bidi w:val="0"/>
              <w:spacing w:before="0" w:after="283"/>
              <w:jc w:val="left"/>
              <w:rPr/>
            </w:pPr>
            <w:r>
              <w:rPr/>
              <w:t>Each of the Servicers, the Originators, the SPE and the Performance Guarantor</w:t>
            </w:r>
          </w:p>
        </w:tc>
      </w:tr>
      <w:tr>
        <w:trPr>
          <w:trHeight w:val="120" w:hRule="atLeast"/>
        </w:trPr>
        <w:tc>
          <w:tcPr>
            <w:tcW w:w="2982" w:type="dxa"/>
            <w:tcBorders/>
            <w:vAlign w:val="center"/>
          </w:tcPr>
          <w:p>
            <w:pPr>
              <w:pStyle w:val="TableContents"/>
              <w:bidi w:val="0"/>
              <w:spacing w:before="0" w:after="283"/>
              <w:jc w:val="left"/>
              <w:rPr>
                <w:sz w:val="4"/>
                <w:szCs w:val="4"/>
              </w:rPr>
            </w:pPr>
            <w:r>
              <w:rPr>
                <w:sz w:val="4"/>
                <w:szCs w:val="4"/>
              </w:rPr>
            </w:r>
          </w:p>
        </w:tc>
        <w:tc>
          <w:tcPr>
            <w:tcW w:w="7223" w:type="dxa"/>
            <w:gridSpan w:val="2"/>
            <w:tcBorders/>
            <w:vAlign w:val="center"/>
          </w:tcPr>
          <w:p>
            <w:pPr>
              <w:pStyle w:val="TableContents"/>
              <w:bidi w:val="0"/>
              <w:spacing w:before="0" w:after="283"/>
              <w:jc w:val="left"/>
              <w:rPr>
                <w:sz w:val="4"/>
                <w:szCs w:val="4"/>
              </w:rPr>
            </w:pPr>
            <w:r>
              <w:rPr>
                <w:sz w:val="4"/>
                <w:szCs w:val="4"/>
              </w:rPr>
            </w:r>
          </w:p>
        </w:tc>
      </w:tr>
      <w:tr>
        <w:trPr/>
        <w:tc>
          <w:tcPr>
            <w:tcW w:w="2982" w:type="dxa"/>
            <w:tcBorders/>
          </w:tcPr>
          <w:p>
            <w:pPr>
              <w:pStyle w:val="TableContents"/>
              <w:bidi w:val="0"/>
              <w:spacing w:before="0" w:after="283"/>
              <w:jc w:val="left"/>
              <w:rPr>
                <w:i/>
              </w:rPr>
            </w:pPr>
            <w:r>
              <w:rPr>
                <w:i/>
              </w:rPr>
              <w:t>Servicers</w:t>
            </w:r>
          </w:p>
        </w:tc>
        <w:tc>
          <w:tcPr>
            <w:tcW w:w="121" w:type="dxa"/>
            <w:tcBorders/>
            <w:vAlign w:val="bottom"/>
          </w:tcPr>
          <w:p>
            <w:pPr>
              <w:pStyle w:val="TableContents"/>
              <w:bidi w:val="0"/>
              <w:spacing w:before="0" w:after="283"/>
              <w:jc w:val="left"/>
              <w:rPr/>
            </w:pPr>
            <w:r>
              <w:rPr/>
              <w:t>  </w:t>
            </w:r>
          </w:p>
        </w:tc>
        <w:tc>
          <w:tcPr>
            <w:tcW w:w="7102" w:type="dxa"/>
            <w:tcBorders/>
          </w:tcPr>
          <w:p>
            <w:pPr>
              <w:pStyle w:val="TableContents"/>
              <w:bidi w:val="0"/>
              <w:spacing w:before="0" w:after="283"/>
              <w:jc w:val="left"/>
              <w:rPr/>
            </w:pPr>
            <w:r>
              <w:rPr/>
              <w:t>U.S. Servicer, UK Servicer and SG Servicer</w:t>
            </w:r>
          </w:p>
        </w:tc>
      </w:tr>
      <w:tr>
        <w:trPr>
          <w:trHeight w:val="120" w:hRule="atLeast"/>
        </w:trPr>
        <w:tc>
          <w:tcPr>
            <w:tcW w:w="2982" w:type="dxa"/>
            <w:tcBorders/>
            <w:vAlign w:val="center"/>
          </w:tcPr>
          <w:p>
            <w:pPr>
              <w:pStyle w:val="TableContents"/>
              <w:bidi w:val="0"/>
              <w:spacing w:before="0" w:after="283"/>
              <w:jc w:val="left"/>
              <w:rPr>
                <w:sz w:val="4"/>
                <w:szCs w:val="4"/>
              </w:rPr>
            </w:pPr>
            <w:r>
              <w:rPr>
                <w:sz w:val="4"/>
                <w:szCs w:val="4"/>
              </w:rPr>
            </w:r>
          </w:p>
        </w:tc>
        <w:tc>
          <w:tcPr>
            <w:tcW w:w="7223" w:type="dxa"/>
            <w:gridSpan w:val="2"/>
            <w:tcBorders/>
            <w:vAlign w:val="center"/>
          </w:tcPr>
          <w:p>
            <w:pPr>
              <w:pStyle w:val="TableContents"/>
              <w:bidi w:val="0"/>
              <w:spacing w:before="0" w:after="283"/>
              <w:jc w:val="left"/>
              <w:rPr>
                <w:sz w:val="4"/>
                <w:szCs w:val="4"/>
              </w:rPr>
            </w:pPr>
            <w:r>
              <w:rPr>
                <w:sz w:val="4"/>
                <w:szCs w:val="4"/>
              </w:rPr>
            </w:r>
          </w:p>
        </w:tc>
      </w:tr>
      <w:tr>
        <w:trPr/>
        <w:tc>
          <w:tcPr>
            <w:tcW w:w="2982" w:type="dxa"/>
            <w:tcBorders/>
          </w:tcPr>
          <w:p>
            <w:pPr>
              <w:pStyle w:val="TableContents"/>
              <w:bidi w:val="0"/>
              <w:spacing w:before="0" w:after="283"/>
              <w:jc w:val="left"/>
              <w:rPr>
                <w:i/>
              </w:rPr>
            </w:pPr>
            <w:r>
              <w:rPr>
                <w:i/>
              </w:rPr>
              <w:t>SG Collection Acccount Bank</w:t>
            </w:r>
          </w:p>
        </w:tc>
        <w:tc>
          <w:tcPr>
            <w:tcW w:w="121" w:type="dxa"/>
            <w:tcBorders/>
            <w:vAlign w:val="bottom"/>
          </w:tcPr>
          <w:p>
            <w:pPr>
              <w:pStyle w:val="TableContents"/>
              <w:bidi w:val="0"/>
              <w:spacing w:before="0" w:after="283"/>
              <w:jc w:val="left"/>
              <w:rPr/>
            </w:pPr>
            <w:r>
              <w:rPr/>
              <w:t>  </w:t>
            </w:r>
          </w:p>
        </w:tc>
        <w:tc>
          <w:tcPr>
            <w:tcW w:w="7102" w:type="dxa"/>
            <w:tcBorders/>
          </w:tcPr>
          <w:p>
            <w:pPr>
              <w:pStyle w:val="TableContents"/>
              <w:bidi w:val="0"/>
              <w:spacing w:before="0" w:after="283"/>
              <w:jc w:val="left"/>
              <w:rPr/>
            </w:pPr>
            <w:r>
              <w:rPr/>
              <w:t>Bank of America, N.A., Singapore Branch</w:t>
            </w:r>
          </w:p>
        </w:tc>
      </w:tr>
      <w:tr>
        <w:trPr>
          <w:trHeight w:val="120" w:hRule="atLeast"/>
        </w:trPr>
        <w:tc>
          <w:tcPr>
            <w:tcW w:w="2982" w:type="dxa"/>
            <w:tcBorders/>
            <w:vAlign w:val="center"/>
          </w:tcPr>
          <w:p>
            <w:pPr>
              <w:pStyle w:val="TableContents"/>
              <w:bidi w:val="0"/>
              <w:spacing w:before="0" w:after="283"/>
              <w:jc w:val="left"/>
              <w:rPr>
                <w:sz w:val="4"/>
                <w:szCs w:val="4"/>
              </w:rPr>
            </w:pPr>
            <w:r>
              <w:rPr>
                <w:sz w:val="4"/>
                <w:szCs w:val="4"/>
              </w:rPr>
            </w:r>
          </w:p>
        </w:tc>
        <w:tc>
          <w:tcPr>
            <w:tcW w:w="7223" w:type="dxa"/>
            <w:gridSpan w:val="2"/>
            <w:tcBorders/>
            <w:vAlign w:val="center"/>
          </w:tcPr>
          <w:p>
            <w:pPr>
              <w:pStyle w:val="TableContents"/>
              <w:bidi w:val="0"/>
              <w:spacing w:before="0" w:after="283"/>
              <w:jc w:val="left"/>
              <w:rPr>
                <w:sz w:val="4"/>
                <w:szCs w:val="4"/>
              </w:rPr>
            </w:pPr>
            <w:r>
              <w:rPr>
                <w:sz w:val="4"/>
                <w:szCs w:val="4"/>
              </w:rPr>
            </w:r>
          </w:p>
        </w:tc>
      </w:tr>
      <w:tr>
        <w:trPr/>
        <w:tc>
          <w:tcPr>
            <w:tcW w:w="2982" w:type="dxa"/>
            <w:tcBorders/>
          </w:tcPr>
          <w:p>
            <w:pPr>
              <w:pStyle w:val="TableContents"/>
              <w:bidi w:val="0"/>
              <w:spacing w:before="0" w:after="283"/>
              <w:jc w:val="left"/>
              <w:rPr>
                <w:i/>
              </w:rPr>
            </w:pPr>
            <w:r>
              <w:rPr>
                <w:i/>
              </w:rPr>
              <w:t>SG Originator</w:t>
            </w:r>
          </w:p>
        </w:tc>
        <w:tc>
          <w:tcPr>
            <w:tcW w:w="121" w:type="dxa"/>
            <w:tcBorders/>
            <w:vAlign w:val="bottom"/>
          </w:tcPr>
          <w:p>
            <w:pPr>
              <w:pStyle w:val="TableContents"/>
              <w:bidi w:val="0"/>
              <w:spacing w:before="0" w:after="283"/>
              <w:jc w:val="left"/>
              <w:rPr/>
            </w:pPr>
            <w:r>
              <w:rPr/>
              <w:t>  </w:t>
            </w:r>
          </w:p>
        </w:tc>
        <w:tc>
          <w:tcPr>
            <w:tcW w:w="7102" w:type="dxa"/>
            <w:tcBorders/>
          </w:tcPr>
          <w:p>
            <w:pPr>
              <w:pStyle w:val="TableContents"/>
              <w:bidi w:val="0"/>
              <w:spacing w:before="0" w:after="283"/>
              <w:jc w:val="left"/>
              <w:rPr/>
            </w:pPr>
            <w:r>
              <w:rPr/>
              <w:t>Sabre Asia Pacific Pte. Ltd.</w:t>
            </w:r>
          </w:p>
        </w:tc>
      </w:tr>
      <w:tr>
        <w:trPr>
          <w:trHeight w:val="120" w:hRule="atLeast"/>
        </w:trPr>
        <w:tc>
          <w:tcPr>
            <w:tcW w:w="2982" w:type="dxa"/>
            <w:tcBorders/>
            <w:vAlign w:val="center"/>
          </w:tcPr>
          <w:p>
            <w:pPr>
              <w:pStyle w:val="TableContents"/>
              <w:bidi w:val="0"/>
              <w:spacing w:before="0" w:after="283"/>
              <w:jc w:val="left"/>
              <w:rPr>
                <w:sz w:val="4"/>
                <w:szCs w:val="4"/>
              </w:rPr>
            </w:pPr>
            <w:r>
              <w:rPr>
                <w:sz w:val="4"/>
                <w:szCs w:val="4"/>
              </w:rPr>
            </w:r>
          </w:p>
        </w:tc>
        <w:tc>
          <w:tcPr>
            <w:tcW w:w="7223" w:type="dxa"/>
            <w:gridSpan w:val="2"/>
            <w:tcBorders/>
            <w:vAlign w:val="center"/>
          </w:tcPr>
          <w:p>
            <w:pPr>
              <w:pStyle w:val="TableContents"/>
              <w:bidi w:val="0"/>
              <w:spacing w:before="0" w:after="283"/>
              <w:jc w:val="left"/>
              <w:rPr>
                <w:sz w:val="4"/>
                <w:szCs w:val="4"/>
              </w:rPr>
            </w:pPr>
            <w:r>
              <w:rPr>
                <w:sz w:val="4"/>
                <w:szCs w:val="4"/>
              </w:rPr>
            </w:r>
          </w:p>
        </w:tc>
      </w:tr>
      <w:tr>
        <w:trPr/>
        <w:tc>
          <w:tcPr>
            <w:tcW w:w="2982" w:type="dxa"/>
            <w:tcBorders/>
          </w:tcPr>
          <w:p>
            <w:pPr>
              <w:pStyle w:val="TableContents"/>
              <w:bidi w:val="0"/>
              <w:spacing w:before="0" w:after="283"/>
              <w:jc w:val="left"/>
              <w:rPr>
                <w:i/>
              </w:rPr>
            </w:pPr>
            <w:r>
              <w:rPr>
                <w:i/>
              </w:rPr>
              <w:t>SG Servicer</w:t>
            </w:r>
          </w:p>
        </w:tc>
        <w:tc>
          <w:tcPr>
            <w:tcW w:w="121" w:type="dxa"/>
            <w:tcBorders/>
            <w:vAlign w:val="bottom"/>
          </w:tcPr>
          <w:p>
            <w:pPr>
              <w:pStyle w:val="TableContents"/>
              <w:bidi w:val="0"/>
              <w:spacing w:before="0" w:after="283"/>
              <w:jc w:val="left"/>
              <w:rPr/>
            </w:pPr>
            <w:r>
              <w:rPr/>
              <w:t>  </w:t>
            </w:r>
          </w:p>
        </w:tc>
        <w:tc>
          <w:tcPr>
            <w:tcW w:w="7102" w:type="dxa"/>
            <w:tcBorders/>
          </w:tcPr>
          <w:p>
            <w:pPr>
              <w:pStyle w:val="TableContents"/>
              <w:bidi w:val="0"/>
              <w:spacing w:before="0" w:after="283"/>
              <w:jc w:val="left"/>
              <w:rPr/>
            </w:pPr>
            <w:r>
              <w:rPr/>
              <w:t>Sabre Asia Pacific Pte. Ltd.</w:t>
            </w:r>
          </w:p>
        </w:tc>
      </w:tr>
      <w:tr>
        <w:trPr>
          <w:trHeight w:val="120" w:hRule="atLeast"/>
        </w:trPr>
        <w:tc>
          <w:tcPr>
            <w:tcW w:w="2982" w:type="dxa"/>
            <w:tcBorders/>
            <w:vAlign w:val="center"/>
          </w:tcPr>
          <w:p>
            <w:pPr>
              <w:pStyle w:val="TableContents"/>
              <w:bidi w:val="0"/>
              <w:spacing w:before="0" w:after="283"/>
              <w:jc w:val="left"/>
              <w:rPr>
                <w:sz w:val="4"/>
                <w:szCs w:val="4"/>
              </w:rPr>
            </w:pPr>
            <w:r>
              <w:rPr>
                <w:sz w:val="4"/>
                <w:szCs w:val="4"/>
              </w:rPr>
            </w:r>
          </w:p>
        </w:tc>
        <w:tc>
          <w:tcPr>
            <w:tcW w:w="7223" w:type="dxa"/>
            <w:gridSpan w:val="2"/>
            <w:tcBorders/>
            <w:vAlign w:val="center"/>
          </w:tcPr>
          <w:p>
            <w:pPr>
              <w:pStyle w:val="TableContents"/>
              <w:bidi w:val="0"/>
              <w:spacing w:before="0" w:after="283"/>
              <w:jc w:val="left"/>
              <w:rPr>
                <w:sz w:val="4"/>
                <w:szCs w:val="4"/>
              </w:rPr>
            </w:pPr>
            <w:r>
              <w:rPr>
                <w:sz w:val="4"/>
                <w:szCs w:val="4"/>
              </w:rPr>
            </w:r>
          </w:p>
        </w:tc>
      </w:tr>
      <w:tr>
        <w:trPr/>
        <w:tc>
          <w:tcPr>
            <w:tcW w:w="2982" w:type="dxa"/>
            <w:tcBorders/>
          </w:tcPr>
          <w:p>
            <w:pPr>
              <w:pStyle w:val="TableContents"/>
              <w:bidi w:val="0"/>
              <w:spacing w:before="0" w:after="283"/>
              <w:jc w:val="left"/>
              <w:rPr>
                <w:i/>
              </w:rPr>
            </w:pPr>
            <w:r>
              <w:rPr>
                <w:i/>
              </w:rPr>
              <w:t>UK Collection Account Bank</w:t>
            </w:r>
          </w:p>
        </w:tc>
        <w:tc>
          <w:tcPr>
            <w:tcW w:w="121" w:type="dxa"/>
            <w:tcBorders/>
            <w:vAlign w:val="bottom"/>
          </w:tcPr>
          <w:p>
            <w:pPr>
              <w:pStyle w:val="TableContents"/>
              <w:bidi w:val="0"/>
              <w:spacing w:before="0" w:after="283"/>
              <w:jc w:val="left"/>
              <w:rPr/>
            </w:pPr>
            <w:r>
              <w:rPr/>
              <w:t>  </w:t>
            </w:r>
          </w:p>
        </w:tc>
        <w:tc>
          <w:tcPr>
            <w:tcW w:w="7102" w:type="dxa"/>
            <w:tcBorders/>
          </w:tcPr>
          <w:p>
            <w:pPr>
              <w:pStyle w:val="TableContents"/>
              <w:bidi w:val="0"/>
              <w:spacing w:before="0" w:after="283"/>
              <w:jc w:val="left"/>
              <w:rPr/>
            </w:pPr>
            <w:r>
              <w:rPr/>
              <w:t>Bank of America, N.A.</w:t>
            </w:r>
          </w:p>
        </w:tc>
      </w:tr>
      <w:tr>
        <w:trPr>
          <w:trHeight w:val="120" w:hRule="atLeast"/>
        </w:trPr>
        <w:tc>
          <w:tcPr>
            <w:tcW w:w="2982" w:type="dxa"/>
            <w:tcBorders/>
            <w:vAlign w:val="center"/>
          </w:tcPr>
          <w:p>
            <w:pPr>
              <w:pStyle w:val="TableContents"/>
              <w:bidi w:val="0"/>
              <w:spacing w:before="0" w:after="283"/>
              <w:jc w:val="left"/>
              <w:rPr>
                <w:sz w:val="4"/>
                <w:szCs w:val="4"/>
              </w:rPr>
            </w:pPr>
            <w:r>
              <w:rPr>
                <w:sz w:val="4"/>
                <w:szCs w:val="4"/>
              </w:rPr>
            </w:r>
          </w:p>
        </w:tc>
        <w:tc>
          <w:tcPr>
            <w:tcW w:w="7223" w:type="dxa"/>
            <w:gridSpan w:val="2"/>
            <w:tcBorders/>
            <w:vAlign w:val="center"/>
          </w:tcPr>
          <w:p>
            <w:pPr>
              <w:pStyle w:val="TableContents"/>
              <w:bidi w:val="0"/>
              <w:spacing w:before="0" w:after="283"/>
              <w:jc w:val="left"/>
              <w:rPr>
                <w:sz w:val="4"/>
                <w:szCs w:val="4"/>
              </w:rPr>
            </w:pPr>
            <w:r>
              <w:rPr>
                <w:sz w:val="4"/>
                <w:szCs w:val="4"/>
              </w:rPr>
            </w:r>
          </w:p>
        </w:tc>
      </w:tr>
      <w:tr>
        <w:trPr/>
        <w:tc>
          <w:tcPr>
            <w:tcW w:w="2982" w:type="dxa"/>
            <w:tcBorders/>
          </w:tcPr>
          <w:p>
            <w:pPr>
              <w:pStyle w:val="TableContents"/>
              <w:bidi w:val="0"/>
              <w:spacing w:before="0" w:after="283"/>
              <w:jc w:val="left"/>
              <w:rPr>
                <w:i/>
              </w:rPr>
            </w:pPr>
            <w:r>
              <w:rPr>
                <w:i/>
              </w:rPr>
              <w:t>UK Servicer</w:t>
            </w:r>
          </w:p>
        </w:tc>
        <w:tc>
          <w:tcPr>
            <w:tcW w:w="121" w:type="dxa"/>
            <w:tcBorders/>
            <w:vAlign w:val="bottom"/>
          </w:tcPr>
          <w:p>
            <w:pPr>
              <w:pStyle w:val="TableContents"/>
              <w:bidi w:val="0"/>
              <w:spacing w:before="0" w:after="283"/>
              <w:jc w:val="left"/>
              <w:rPr/>
            </w:pPr>
            <w:r>
              <w:rPr/>
              <w:t>  </w:t>
            </w:r>
          </w:p>
        </w:tc>
        <w:tc>
          <w:tcPr>
            <w:tcW w:w="7102" w:type="dxa"/>
            <w:tcBorders/>
          </w:tcPr>
          <w:p>
            <w:pPr>
              <w:pStyle w:val="TableContents"/>
              <w:bidi w:val="0"/>
              <w:spacing w:before="0" w:after="283"/>
              <w:jc w:val="left"/>
              <w:rPr/>
            </w:pPr>
            <w:r>
              <w:rPr/>
              <w:t>Sabre Global Technologies Limited</w:t>
            </w:r>
          </w:p>
        </w:tc>
      </w:tr>
      <w:tr>
        <w:trPr>
          <w:trHeight w:val="120" w:hRule="atLeast"/>
        </w:trPr>
        <w:tc>
          <w:tcPr>
            <w:tcW w:w="2982" w:type="dxa"/>
            <w:tcBorders/>
            <w:vAlign w:val="center"/>
          </w:tcPr>
          <w:p>
            <w:pPr>
              <w:pStyle w:val="TableContents"/>
              <w:bidi w:val="0"/>
              <w:spacing w:before="0" w:after="283"/>
              <w:jc w:val="left"/>
              <w:rPr>
                <w:sz w:val="4"/>
                <w:szCs w:val="4"/>
              </w:rPr>
            </w:pPr>
            <w:r>
              <w:rPr>
                <w:sz w:val="4"/>
                <w:szCs w:val="4"/>
              </w:rPr>
            </w:r>
          </w:p>
        </w:tc>
        <w:tc>
          <w:tcPr>
            <w:tcW w:w="7223" w:type="dxa"/>
            <w:gridSpan w:val="2"/>
            <w:tcBorders/>
            <w:vAlign w:val="center"/>
          </w:tcPr>
          <w:p>
            <w:pPr>
              <w:pStyle w:val="TableContents"/>
              <w:bidi w:val="0"/>
              <w:spacing w:before="0" w:after="283"/>
              <w:jc w:val="left"/>
              <w:rPr>
                <w:sz w:val="4"/>
                <w:szCs w:val="4"/>
              </w:rPr>
            </w:pPr>
            <w:r>
              <w:rPr>
                <w:sz w:val="4"/>
                <w:szCs w:val="4"/>
              </w:rPr>
            </w:r>
          </w:p>
        </w:tc>
      </w:tr>
      <w:tr>
        <w:trPr/>
        <w:tc>
          <w:tcPr>
            <w:tcW w:w="2982" w:type="dxa"/>
            <w:tcBorders/>
          </w:tcPr>
          <w:p>
            <w:pPr>
              <w:pStyle w:val="TableContents"/>
              <w:bidi w:val="0"/>
              <w:spacing w:before="0" w:after="283"/>
              <w:jc w:val="left"/>
              <w:rPr>
                <w:i/>
              </w:rPr>
            </w:pPr>
            <w:r>
              <w:rPr>
                <w:i/>
              </w:rPr>
              <w:t>U.S. Collection Account Bank</w:t>
            </w:r>
          </w:p>
        </w:tc>
        <w:tc>
          <w:tcPr>
            <w:tcW w:w="121" w:type="dxa"/>
            <w:tcBorders/>
            <w:vAlign w:val="bottom"/>
          </w:tcPr>
          <w:p>
            <w:pPr>
              <w:pStyle w:val="TableContents"/>
              <w:bidi w:val="0"/>
              <w:spacing w:before="0" w:after="283"/>
              <w:jc w:val="left"/>
              <w:rPr/>
            </w:pPr>
            <w:r>
              <w:rPr/>
              <w:t>  </w:t>
            </w:r>
          </w:p>
        </w:tc>
        <w:tc>
          <w:tcPr>
            <w:tcW w:w="7102" w:type="dxa"/>
            <w:tcBorders/>
          </w:tcPr>
          <w:p>
            <w:pPr>
              <w:pStyle w:val="TableContents"/>
              <w:bidi w:val="0"/>
              <w:spacing w:before="0" w:after="283"/>
              <w:jc w:val="left"/>
              <w:rPr/>
            </w:pPr>
            <w:r>
              <w:rPr/>
              <w:t>Citibank, N.A.</w:t>
            </w:r>
          </w:p>
        </w:tc>
      </w:tr>
      <w:tr>
        <w:trPr>
          <w:trHeight w:val="120" w:hRule="atLeast"/>
        </w:trPr>
        <w:tc>
          <w:tcPr>
            <w:tcW w:w="2982" w:type="dxa"/>
            <w:tcBorders/>
            <w:vAlign w:val="center"/>
          </w:tcPr>
          <w:p>
            <w:pPr>
              <w:pStyle w:val="TableContents"/>
              <w:bidi w:val="0"/>
              <w:spacing w:before="0" w:after="283"/>
              <w:jc w:val="left"/>
              <w:rPr>
                <w:sz w:val="4"/>
                <w:szCs w:val="4"/>
              </w:rPr>
            </w:pPr>
            <w:r>
              <w:rPr>
                <w:sz w:val="4"/>
                <w:szCs w:val="4"/>
              </w:rPr>
            </w:r>
          </w:p>
        </w:tc>
        <w:tc>
          <w:tcPr>
            <w:tcW w:w="7223" w:type="dxa"/>
            <w:gridSpan w:val="2"/>
            <w:tcBorders/>
            <w:vAlign w:val="center"/>
          </w:tcPr>
          <w:p>
            <w:pPr>
              <w:pStyle w:val="TableContents"/>
              <w:bidi w:val="0"/>
              <w:spacing w:before="0" w:after="283"/>
              <w:jc w:val="left"/>
              <w:rPr>
                <w:sz w:val="4"/>
                <w:szCs w:val="4"/>
              </w:rPr>
            </w:pPr>
            <w:r>
              <w:rPr>
                <w:sz w:val="4"/>
                <w:szCs w:val="4"/>
              </w:rPr>
            </w:r>
          </w:p>
        </w:tc>
      </w:tr>
      <w:tr>
        <w:trPr/>
        <w:tc>
          <w:tcPr>
            <w:tcW w:w="2982" w:type="dxa"/>
            <w:tcBorders/>
          </w:tcPr>
          <w:p>
            <w:pPr>
              <w:pStyle w:val="TableContents"/>
              <w:bidi w:val="0"/>
              <w:spacing w:before="0" w:after="283"/>
              <w:jc w:val="left"/>
              <w:rPr>
                <w:i/>
              </w:rPr>
            </w:pPr>
            <w:r>
              <w:rPr>
                <w:i/>
              </w:rPr>
              <w:t>U.S. Servicer</w:t>
            </w:r>
          </w:p>
        </w:tc>
        <w:tc>
          <w:tcPr>
            <w:tcW w:w="121" w:type="dxa"/>
            <w:tcBorders/>
            <w:vAlign w:val="bottom"/>
          </w:tcPr>
          <w:p>
            <w:pPr>
              <w:pStyle w:val="TableContents"/>
              <w:bidi w:val="0"/>
              <w:spacing w:before="0" w:after="283"/>
              <w:jc w:val="left"/>
              <w:rPr/>
            </w:pPr>
            <w:r>
              <w:rPr/>
              <w:t>  </w:t>
            </w:r>
          </w:p>
        </w:tc>
        <w:tc>
          <w:tcPr>
            <w:tcW w:w="7102" w:type="dxa"/>
            <w:tcBorders/>
          </w:tcPr>
          <w:p>
            <w:pPr>
              <w:pStyle w:val="TableContents"/>
              <w:bidi w:val="0"/>
              <w:spacing w:before="0" w:after="283"/>
              <w:jc w:val="left"/>
              <w:rPr/>
            </w:pPr>
            <w:r>
              <w:rPr/>
              <w:t>Sabre GLBL, Inc.</w:t>
            </w:r>
          </w:p>
        </w:tc>
      </w:tr>
      <w:tr>
        <w:trPr>
          <w:trHeight w:val="120" w:hRule="atLeast"/>
        </w:trPr>
        <w:tc>
          <w:tcPr>
            <w:tcW w:w="2982" w:type="dxa"/>
            <w:tcBorders/>
            <w:vAlign w:val="center"/>
          </w:tcPr>
          <w:p>
            <w:pPr>
              <w:pStyle w:val="TableContents"/>
              <w:bidi w:val="0"/>
              <w:spacing w:before="0" w:after="283"/>
              <w:jc w:val="left"/>
              <w:rPr>
                <w:sz w:val="4"/>
                <w:szCs w:val="4"/>
              </w:rPr>
            </w:pPr>
            <w:r>
              <w:rPr>
                <w:sz w:val="4"/>
                <w:szCs w:val="4"/>
              </w:rPr>
            </w:r>
          </w:p>
        </w:tc>
        <w:tc>
          <w:tcPr>
            <w:tcW w:w="7223" w:type="dxa"/>
            <w:gridSpan w:val="2"/>
            <w:tcBorders/>
            <w:vAlign w:val="center"/>
          </w:tcPr>
          <w:p>
            <w:pPr>
              <w:pStyle w:val="TableContents"/>
              <w:bidi w:val="0"/>
              <w:spacing w:before="0" w:after="283"/>
              <w:jc w:val="left"/>
              <w:rPr>
                <w:sz w:val="4"/>
                <w:szCs w:val="4"/>
              </w:rPr>
            </w:pPr>
            <w:r>
              <w:rPr>
                <w:sz w:val="4"/>
                <w:szCs w:val="4"/>
              </w:rPr>
            </w:r>
          </w:p>
        </w:tc>
      </w:tr>
      <w:tr>
        <w:trPr/>
        <w:tc>
          <w:tcPr>
            <w:tcW w:w="2982" w:type="dxa"/>
            <w:tcBorders/>
          </w:tcPr>
          <w:p>
            <w:pPr>
              <w:pStyle w:val="TableContents"/>
              <w:bidi w:val="0"/>
              <w:spacing w:before="0" w:after="283"/>
              <w:jc w:val="left"/>
              <w:rPr>
                <w:i/>
              </w:rPr>
            </w:pPr>
            <w:r>
              <w:rPr>
                <w:i/>
              </w:rPr>
              <w:t>SPE</w:t>
            </w:r>
          </w:p>
        </w:tc>
        <w:tc>
          <w:tcPr>
            <w:tcW w:w="121" w:type="dxa"/>
            <w:tcBorders/>
            <w:vAlign w:val="bottom"/>
          </w:tcPr>
          <w:p>
            <w:pPr>
              <w:pStyle w:val="TableContents"/>
              <w:bidi w:val="0"/>
              <w:spacing w:before="0" w:after="283"/>
              <w:jc w:val="left"/>
              <w:rPr/>
            </w:pPr>
            <w:r>
              <w:rPr/>
              <w:t>  </w:t>
            </w:r>
          </w:p>
        </w:tc>
        <w:tc>
          <w:tcPr>
            <w:tcW w:w="7102" w:type="dxa"/>
            <w:tcBorders/>
          </w:tcPr>
          <w:p>
            <w:pPr>
              <w:pStyle w:val="TableContents"/>
              <w:bidi w:val="0"/>
              <w:spacing w:before="0" w:after="283"/>
              <w:jc w:val="left"/>
              <w:rPr/>
            </w:pPr>
            <w:r>
              <w:rPr/>
              <w:t>Sabre Securitization, LLC, a Delaware limited liability company structured as a bankruptcy-remote special-purpose entity wholly-owned by Sabre</w:t>
            </w:r>
          </w:p>
        </w:tc>
      </w:tr>
      <w:tr>
        <w:trPr>
          <w:trHeight w:val="120" w:hRule="atLeast"/>
        </w:trPr>
        <w:tc>
          <w:tcPr>
            <w:tcW w:w="2982" w:type="dxa"/>
            <w:tcBorders/>
            <w:vAlign w:val="center"/>
          </w:tcPr>
          <w:p>
            <w:pPr>
              <w:pStyle w:val="TableContents"/>
              <w:bidi w:val="0"/>
              <w:spacing w:before="0" w:after="283"/>
              <w:jc w:val="left"/>
              <w:rPr>
                <w:sz w:val="4"/>
                <w:szCs w:val="4"/>
              </w:rPr>
            </w:pPr>
            <w:r>
              <w:rPr>
                <w:sz w:val="4"/>
                <w:szCs w:val="4"/>
              </w:rPr>
            </w:r>
          </w:p>
        </w:tc>
        <w:tc>
          <w:tcPr>
            <w:tcW w:w="7223" w:type="dxa"/>
            <w:gridSpan w:val="2"/>
            <w:tcBorders/>
            <w:vAlign w:val="center"/>
          </w:tcPr>
          <w:p>
            <w:pPr>
              <w:pStyle w:val="TableContents"/>
              <w:bidi w:val="0"/>
              <w:spacing w:before="0" w:after="283"/>
              <w:jc w:val="left"/>
              <w:rPr>
                <w:sz w:val="4"/>
                <w:szCs w:val="4"/>
              </w:rPr>
            </w:pPr>
            <w:r>
              <w:rPr>
                <w:sz w:val="4"/>
                <w:szCs w:val="4"/>
              </w:rPr>
            </w:r>
          </w:p>
        </w:tc>
      </w:tr>
      <w:tr>
        <w:trPr/>
        <w:tc>
          <w:tcPr>
            <w:tcW w:w="2982" w:type="dxa"/>
            <w:tcBorders/>
          </w:tcPr>
          <w:p>
            <w:pPr>
              <w:pStyle w:val="TableContents"/>
              <w:bidi w:val="0"/>
              <w:spacing w:before="0" w:after="283"/>
              <w:jc w:val="left"/>
              <w:rPr>
                <w:i/>
              </w:rPr>
            </w:pPr>
            <w:r>
              <w:rPr>
                <w:i/>
              </w:rPr>
              <w:t>Structuring Agent</w:t>
            </w:r>
          </w:p>
        </w:tc>
        <w:tc>
          <w:tcPr>
            <w:tcW w:w="121" w:type="dxa"/>
            <w:tcBorders/>
            <w:vAlign w:val="bottom"/>
          </w:tcPr>
          <w:p>
            <w:pPr>
              <w:pStyle w:val="TableContents"/>
              <w:bidi w:val="0"/>
              <w:spacing w:before="0" w:after="283"/>
              <w:jc w:val="left"/>
              <w:rPr/>
            </w:pPr>
            <w:r>
              <w:rPr/>
              <w:t>  </w:t>
            </w:r>
          </w:p>
        </w:tc>
        <w:tc>
          <w:tcPr>
            <w:tcW w:w="7102" w:type="dxa"/>
            <w:tcBorders/>
          </w:tcPr>
          <w:p>
            <w:pPr>
              <w:pStyle w:val="TableContents"/>
              <w:bidi w:val="0"/>
              <w:spacing w:before="0" w:after="283"/>
              <w:jc w:val="left"/>
              <w:rPr/>
            </w:pPr>
            <w:r>
              <w:rPr/>
              <w:t>PNC Capital Markets LLC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488"/>
        <w:gridCol w:w="120"/>
        <w:gridCol w:w="3718"/>
        <w:gridCol w:w="120"/>
        <w:gridCol w:w="1846"/>
        <w:gridCol w:w="120"/>
        <w:gridCol w:w="1888"/>
        <w:gridCol w:w="120"/>
        <w:gridCol w:w="1785"/>
      </w:tblGrid>
      <w:tr>
        <w:trPr/>
        <w:tc>
          <w:tcPr>
            <w:tcW w:w="48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71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20"/>
              </w:rPr>
            </w:pPr>
            <w:r>
              <w:rPr>
                <w:rFonts w:ascii="Times New Roman" w:hAnsi="Times New Roman"/>
                <w:b/>
                <w:sz w:val="20"/>
              </w:rPr>
              <w:t>TRANSACTION PARTIES</w:t>
            </w:r>
          </w:p>
        </w:tc>
      </w:tr>
      <w:tr>
        <w:trPr>
          <w:trHeight w:val="240" w:hRule="atLeast"/>
        </w:trPr>
        <w:tc>
          <w:tcPr>
            <w:tcW w:w="488" w:type="dxa"/>
            <w:tcBorders/>
            <w:vAlign w:val="center"/>
          </w:tcPr>
          <w:p>
            <w:pPr>
              <w:pStyle w:val="TableContents"/>
              <w:bidi w:val="0"/>
              <w:spacing w:before="0" w:after="283"/>
              <w:jc w:val="left"/>
              <w:rPr>
                <w:sz w:val="4"/>
                <w:szCs w:val="4"/>
              </w:rPr>
            </w:pPr>
            <w:r>
              <w:rPr>
                <w:sz w:val="4"/>
                <w:szCs w:val="4"/>
              </w:rPr>
            </w:r>
          </w:p>
        </w:tc>
        <w:tc>
          <w:tcPr>
            <w:tcW w:w="3838" w:type="dxa"/>
            <w:gridSpan w:val="2"/>
            <w:tcBorders/>
            <w:vAlign w:val="center"/>
          </w:tcPr>
          <w:p>
            <w:pPr>
              <w:pStyle w:val="TableContents"/>
              <w:bidi w:val="0"/>
              <w:spacing w:before="0" w:after="283"/>
              <w:jc w:val="left"/>
              <w:rPr>
                <w:sz w:val="4"/>
                <w:szCs w:val="4"/>
              </w:rPr>
            </w:pPr>
            <w:r>
              <w:rPr>
                <w:sz w:val="4"/>
                <w:szCs w:val="4"/>
              </w:rPr>
            </w:r>
          </w:p>
        </w:tc>
        <w:tc>
          <w:tcPr>
            <w:tcW w:w="1966" w:type="dxa"/>
            <w:gridSpan w:val="2"/>
            <w:tcBorders/>
            <w:vAlign w:val="center"/>
          </w:tcPr>
          <w:p>
            <w:pPr>
              <w:pStyle w:val="TableContents"/>
              <w:bidi w:val="0"/>
              <w:spacing w:before="0" w:after="283"/>
              <w:jc w:val="left"/>
              <w:rPr>
                <w:sz w:val="4"/>
                <w:szCs w:val="4"/>
              </w:rPr>
            </w:pPr>
            <w:r>
              <w:rPr>
                <w:sz w:val="4"/>
                <w:szCs w:val="4"/>
              </w:rPr>
            </w:r>
          </w:p>
        </w:tc>
        <w:tc>
          <w:tcPr>
            <w:tcW w:w="2008" w:type="dxa"/>
            <w:gridSpan w:val="2"/>
            <w:tcBorders/>
            <w:vAlign w:val="center"/>
          </w:tcPr>
          <w:p>
            <w:pPr>
              <w:pStyle w:val="TableContents"/>
              <w:bidi w:val="0"/>
              <w:spacing w:before="0" w:after="283"/>
              <w:jc w:val="left"/>
              <w:rPr>
                <w:sz w:val="4"/>
                <w:szCs w:val="4"/>
              </w:rPr>
            </w:pPr>
            <w:r>
              <w:rPr>
                <w:sz w:val="4"/>
                <w:szCs w:val="4"/>
              </w:rPr>
            </w:r>
          </w:p>
        </w:tc>
        <w:tc>
          <w:tcPr>
            <w:tcW w:w="1905" w:type="dxa"/>
            <w:gridSpan w:val="2"/>
            <w:tcBorders/>
            <w:vAlign w:val="center"/>
          </w:tcPr>
          <w:p>
            <w:pPr>
              <w:pStyle w:val="TableContents"/>
              <w:bidi w:val="0"/>
              <w:spacing w:before="0" w:after="283"/>
              <w:jc w:val="left"/>
              <w:rPr>
                <w:sz w:val="4"/>
                <w:szCs w:val="4"/>
              </w:rPr>
            </w:pPr>
            <w:r>
              <w:rPr>
                <w:sz w:val="4"/>
                <w:szCs w:val="4"/>
              </w:rPr>
            </w:r>
          </w:p>
        </w:tc>
      </w:tr>
      <w:tr>
        <w:trPr/>
        <w:tc>
          <w:tcPr>
            <w:tcW w:w="48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1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Company Name</w:t>
            </w:r>
          </w:p>
        </w:tc>
        <w:tc>
          <w:tcPr>
            <w:tcW w:w="120" w:type="dxa"/>
            <w:tcBorders/>
            <w:vAlign w:val="bottom"/>
          </w:tcPr>
          <w:p>
            <w:pPr>
              <w:pStyle w:val="TableContents"/>
              <w:bidi w:val="0"/>
              <w:spacing w:before="0" w:after="283"/>
              <w:jc w:val="left"/>
              <w:rPr/>
            </w:pPr>
            <w:r>
              <w:rPr/>
              <w:t>  </w:t>
            </w:r>
          </w:p>
        </w:tc>
        <w:tc>
          <w:tcPr>
            <w:tcW w:w="184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 of</w:t>
              <w:br/>
              <w:t>Organization</w:t>
            </w:r>
          </w:p>
        </w:tc>
        <w:tc>
          <w:tcPr>
            <w:tcW w:w="120" w:type="dxa"/>
            <w:tcBorders/>
            <w:vAlign w:val="bottom"/>
          </w:tcPr>
          <w:p>
            <w:pPr>
              <w:pStyle w:val="TableContents"/>
              <w:bidi w:val="0"/>
              <w:spacing w:before="0" w:after="283"/>
              <w:jc w:val="left"/>
              <w:rPr/>
            </w:pPr>
            <w:r>
              <w:rPr/>
              <w:t>  </w:t>
            </w:r>
          </w:p>
        </w:tc>
        <w:tc>
          <w:tcPr>
            <w:tcW w:w="1888"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FEIN / UEN (as</w:t>
            </w:r>
          </w:p>
          <w:p>
            <w:pPr>
              <w:pStyle w:val="TableContents"/>
              <w:bidi w:val="0"/>
              <w:spacing w:before="0" w:after="20"/>
              <w:jc w:val="center"/>
              <w:rPr>
                <w:rFonts w:ascii="Times New Roman" w:hAnsi="Times New Roman"/>
                <w:b/>
                <w:sz w:val="16"/>
              </w:rPr>
            </w:pPr>
            <w:r>
              <w:rPr>
                <w:rFonts w:ascii="Times New Roman" w:hAnsi="Times New Roman"/>
                <w:b/>
                <w:sz w:val="16"/>
              </w:rPr>
              <w:t>applicable)</w:t>
            </w:r>
          </w:p>
        </w:tc>
        <w:tc>
          <w:tcPr>
            <w:tcW w:w="120" w:type="dxa"/>
            <w:tcBorders/>
            <w:vAlign w:val="bottom"/>
          </w:tcPr>
          <w:p>
            <w:pPr>
              <w:pStyle w:val="TableContents"/>
              <w:bidi w:val="0"/>
              <w:spacing w:before="0" w:after="283"/>
              <w:jc w:val="left"/>
              <w:rPr/>
            </w:pPr>
            <w:r>
              <w:rPr/>
              <w:t>  </w:t>
            </w:r>
          </w:p>
        </w:tc>
        <w:tc>
          <w:tcPr>
            <w:tcW w:w="17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Chief Executive Office</w:t>
            </w:r>
          </w:p>
        </w:tc>
      </w:tr>
      <w:tr>
        <w:trPr/>
        <w:tc>
          <w:tcPr>
            <w:tcW w:w="488" w:type="dxa"/>
            <w:tcBorders/>
          </w:tcPr>
          <w:p>
            <w:pPr>
              <w:pStyle w:val="TableContents"/>
              <w:bidi w:val="0"/>
              <w:spacing w:before="0" w:after="283"/>
              <w:jc w:val="left"/>
              <w:rPr/>
            </w:pPr>
            <w:r>
              <w:rPr/>
              <w:t>1.</w:t>
            </w:r>
          </w:p>
        </w:tc>
        <w:tc>
          <w:tcPr>
            <w:tcW w:w="120" w:type="dxa"/>
            <w:tcBorders/>
            <w:vAlign w:val="bottom"/>
          </w:tcPr>
          <w:p>
            <w:pPr>
              <w:pStyle w:val="TableContents"/>
              <w:bidi w:val="0"/>
              <w:spacing w:before="0" w:after="283"/>
              <w:jc w:val="left"/>
              <w:rPr/>
            </w:pPr>
            <w:r>
              <w:rPr/>
              <w:t>  </w:t>
            </w:r>
          </w:p>
        </w:tc>
        <w:tc>
          <w:tcPr>
            <w:tcW w:w="3718" w:type="dxa"/>
            <w:tcBorders/>
          </w:tcPr>
          <w:p>
            <w:pPr>
              <w:pStyle w:val="TableContents"/>
              <w:bidi w:val="0"/>
              <w:spacing w:before="0" w:after="0"/>
              <w:jc w:val="left"/>
              <w:rPr>
                <w:rFonts w:ascii="Times New Roman" w:hAnsi="Times New Roman"/>
                <w:sz w:val="20"/>
              </w:rPr>
            </w:pPr>
            <w:r>
              <w:rPr>
                <w:rFonts w:ascii="Times New Roman" w:hAnsi="Times New Roman"/>
                <w:sz w:val="20"/>
              </w:rPr>
              <w:t>Sabre Securitization, LLC</w:t>
            </w:r>
          </w:p>
          <w:p>
            <w:pPr>
              <w:pStyle w:val="TableContents"/>
              <w:bidi w:val="0"/>
              <w:spacing w:before="0" w:after="20"/>
              <w:jc w:val="left"/>
              <w:rPr>
                <w:rFonts w:ascii="Times New Roman" w:hAnsi="Times New Roman"/>
                <w:i/>
                <w:sz w:val="20"/>
              </w:rPr>
            </w:pPr>
            <w:r>
              <w:rPr>
                <w:rFonts w:ascii="Times New Roman" w:hAnsi="Times New Roman"/>
                <w:i/>
                <w:sz w:val="20"/>
              </w:rPr>
              <w:t>Borrower/Buyer/SPE</w:t>
            </w:r>
          </w:p>
        </w:tc>
        <w:tc>
          <w:tcPr>
            <w:tcW w:w="120" w:type="dxa"/>
            <w:tcBorders/>
            <w:vAlign w:val="bottom"/>
          </w:tcPr>
          <w:p>
            <w:pPr>
              <w:pStyle w:val="TableContents"/>
              <w:bidi w:val="0"/>
              <w:spacing w:before="0" w:after="283"/>
              <w:jc w:val="left"/>
              <w:rPr/>
            </w:pPr>
            <w:r>
              <w:rPr/>
              <w:t>  </w:t>
            </w:r>
          </w:p>
        </w:tc>
        <w:tc>
          <w:tcPr>
            <w:tcW w:w="1846" w:type="dxa"/>
            <w:tcBorders/>
          </w:tcPr>
          <w:p>
            <w:pPr>
              <w:pStyle w:val="TableContents"/>
              <w:bidi w:val="0"/>
              <w:spacing w:before="0" w:after="283"/>
              <w:jc w:val="center"/>
              <w:rPr/>
            </w:pPr>
            <w:r>
              <w:rPr/>
              <w:t>Delaware</w:t>
            </w:r>
          </w:p>
        </w:tc>
        <w:tc>
          <w:tcPr>
            <w:tcW w:w="120" w:type="dxa"/>
            <w:tcBorders/>
            <w:vAlign w:val="bottom"/>
          </w:tcPr>
          <w:p>
            <w:pPr>
              <w:pStyle w:val="TableContents"/>
              <w:bidi w:val="0"/>
              <w:spacing w:before="0" w:after="283"/>
              <w:jc w:val="left"/>
              <w:rPr/>
            </w:pPr>
            <w:r>
              <w:rPr/>
              <w:t>  </w:t>
            </w:r>
          </w:p>
        </w:tc>
        <w:tc>
          <w:tcPr>
            <w:tcW w:w="1888" w:type="dxa"/>
            <w:tcBorders/>
          </w:tcPr>
          <w:p>
            <w:pPr>
              <w:pStyle w:val="TableContents"/>
              <w:bidi w:val="0"/>
              <w:spacing w:before="0" w:after="283"/>
              <w:jc w:val="center"/>
              <w:rPr/>
            </w:pPr>
            <w:r>
              <w:rPr/>
              <w:t>75-2109502</w:t>
            </w:r>
          </w:p>
        </w:tc>
        <w:tc>
          <w:tcPr>
            <w:tcW w:w="120" w:type="dxa"/>
            <w:tcBorders/>
            <w:vAlign w:val="bottom"/>
          </w:tcPr>
          <w:p>
            <w:pPr>
              <w:pStyle w:val="TableContents"/>
              <w:bidi w:val="0"/>
              <w:spacing w:before="0" w:after="283"/>
              <w:jc w:val="left"/>
              <w:rPr/>
            </w:pPr>
            <w:r>
              <w:rPr/>
              <w:t>  </w:t>
            </w:r>
          </w:p>
        </w:tc>
        <w:tc>
          <w:tcPr>
            <w:tcW w:w="1785" w:type="dxa"/>
            <w:tcBorders/>
          </w:tcPr>
          <w:p>
            <w:pPr>
              <w:pStyle w:val="TableContents"/>
              <w:bidi w:val="0"/>
              <w:spacing w:before="0" w:after="283"/>
              <w:jc w:val="center"/>
              <w:rPr/>
            </w:pPr>
            <w:r>
              <w:rPr/>
              <w:t>Texas</w:t>
            </w:r>
          </w:p>
        </w:tc>
      </w:tr>
      <w:tr>
        <w:trPr>
          <w:trHeight w:val="120" w:hRule="atLeast"/>
        </w:trPr>
        <w:tc>
          <w:tcPr>
            <w:tcW w:w="488" w:type="dxa"/>
            <w:tcBorders/>
            <w:vAlign w:val="center"/>
          </w:tcPr>
          <w:p>
            <w:pPr>
              <w:pStyle w:val="TableContents"/>
              <w:bidi w:val="0"/>
              <w:spacing w:before="0" w:after="283"/>
              <w:jc w:val="left"/>
              <w:rPr>
                <w:sz w:val="4"/>
                <w:szCs w:val="4"/>
              </w:rPr>
            </w:pPr>
            <w:r>
              <w:rPr>
                <w:sz w:val="4"/>
                <w:szCs w:val="4"/>
              </w:rPr>
            </w:r>
          </w:p>
        </w:tc>
        <w:tc>
          <w:tcPr>
            <w:tcW w:w="3838" w:type="dxa"/>
            <w:gridSpan w:val="2"/>
            <w:tcBorders/>
            <w:vAlign w:val="center"/>
          </w:tcPr>
          <w:p>
            <w:pPr>
              <w:pStyle w:val="TableContents"/>
              <w:bidi w:val="0"/>
              <w:spacing w:before="0" w:after="283"/>
              <w:jc w:val="left"/>
              <w:rPr>
                <w:sz w:val="4"/>
                <w:szCs w:val="4"/>
              </w:rPr>
            </w:pPr>
            <w:r>
              <w:rPr>
                <w:sz w:val="4"/>
                <w:szCs w:val="4"/>
              </w:rPr>
            </w:r>
          </w:p>
        </w:tc>
        <w:tc>
          <w:tcPr>
            <w:tcW w:w="1966" w:type="dxa"/>
            <w:gridSpan w:val="2"/>
            <w:tcBorders/>
            <w:vAlign w:val="center"/>
          </w:tcPr>
          <w:p>
            <w:pPr>
              <w:pStyle w:val="TableContents"/>
              <w:bidi w:val="0"/>
              <w:spacing w:before="0" w:after="283"/>
              <w:jc w:val="left"/>
              <w:rPr>
                <w:sz w:val="4"/>
                <w:szCs w:val="4"/>
              </w:rPr>
            </w:pPr>
            <w:r>
              <w:rPr>
                <w:sz w:val="4"/>
                <w:szCs w:val="4"/>
              </w:rPr>
            </w:r>
          </w:p>
        </w:tc>
        <w:tc>
          <w:tcPr>
            <w:tcW w:w="2008" w:type="dxa"/>
            <w:gridSpan w:val="2"/>
            <w:tcBorders/>
            <w:vAlign w:val="center"/>
          </w:tcPr>
          <w:p>
            <w:pPr>
              <w:pStyle w:val="TableContents"/>
              <w:bidi w:val="0"/>
              <w:spacing w:before="0" w:after="283"/>
              <w:jc w:val="left"/>
              <w:rPr>
                <w:sz w:val="4"/>
                <w:szCs w:val="4"/>
              </w:rPr>
            </w:pPr>
            <w:r>
              <w:rPr>
                <w:sz w:val="4"/>
                <w:szCs w:val="4"/>
              </w:rPr>
            </w:r>
          </w:p>
        </w:tc>
        <w:tc>
          <w:tcPr>
            <w:tcW w:w="1905" w:type="dxa"/>
            <w:gridSpan w:val="2"/>
            <w:tcBorders/>
            <w:vAlign w:val="center"/>
          </w:tcPr>
          <w:p>
            <w:pPr>
              <w:pStyle w:val="TableContents"/>
              <w:bidi w:val="0"/>
              <w:spacing w:before="0" w:after="283"/>
              <w:jc w:val="left"/>
              <w:rPr>
                <w:sz w:val="4"/>
                <w:szCs w:val="4"/>
              </w:rPr>
            </w:pPr>
            <w:r>
              <w:rPr>
                <w:sz w:val="4"/>
                <w:szCs w:val="4"/>
              </w:rPr>
            </w:r>
          </w:p>
        </w:tc>
      </w:tr>
      <w:tr>
        <w:trPr/>
        <w:tc>
          <w:tcPr>
            <w:tcW w:w="488" w:type="dxa"/>
            <w:tcBorders/>
          </w:tcPr>
          <w:p>
            <w:pPr>
              <w:pStyle w:val="TableContents"/>
              <w:bidi w:val="0"/>
              <w:spacing w:before="0" w:after="283"/>
              <w:jc w:val="left"/>
              <w:rPr/>
            </w:pPr>
            <w:r>
              <w:rPr/>
              <w:t>2.</w:t>
            </w:r>
          </w:p>
        </w:tc>
        <w:tc>
          <w:tcPr>
            <w:tcW w:w="120" w:type="dxa"/>
            <w:tcBorders/>
            <w:vAlign w:val="bottom"/>
          </w:tcPr>
          <w:p>
            <w:pPr>
              <w:pStyle w:val="TableContents"/>
              <w:bidi w:val="0"/>
              <w:spacing w:before="0" w:after="283"/>
              <w:jc w:val="left"/>
              <w:rPr/>
            </w:pPr>
            <w:r>
              <w:rPr/>
              <w:t>  </w:t>
            </w:r>
          </w:p>
        </w:tc>
        <w:tc>
          <w:tcPr>
            <w:tcW w:w="3718" w:type="dxa"/>
            <w:tcBorders/>
          </w:tcPr>
          <w:p>
            <w:pPr>
              <w:pStyle w:val="TableContents"/>
              <w:bidi w:val="0"/>
              <w:spacing w:before="0" w:after="0"/>
              <w:jc w:val="left"/>
              <w:rPr>
                <w:rFonts w:ascii="Times New Roman" w:hAnsi="Times New Roman"/>
                <w:sz w:val="20"/>
              </w:rPr>
            </w:pPr>
            <w:r>
              <w:rPr>
                <w:rFonts w:ascii="Times New Roman" w:hAnsi="Times New Roman"/>
                <w:sz w:val="20"/>
              </w:rPr>
              <w:t>Sabre Corporation</w:t>
            </w:r>
          </w:p>
          <w:p>
            <w:pPr>
              <w:pStyle w:val="TableContents"/>
              <w:bidi w:val="0"/>
              <w:spacing w:before="0" w:after="20"/>
              <w:jc w:val="left"/>
              <w:rPr>
                <w:rFonts w:ascii="Times New Roman" w:hAnsi="Times New Roman"/>
                <w:i/>
                <w:sz w:val="20"/>
              </w:rPr>
            </w:pPr>
            <w:r>
              <w:rPr>
                <w:rFonts w:ascii="Times New Roman" w:hAnsi="Times New Roman"/>
                <w:i/>
                <w:sz w:val="20"/>
              </w:rPr>
              <w:t>Performance Guarantor</w:t>
            </w:r>
          </w:p>
        </w:tc>
        <w:tc>
          <w:tcPr>
            <w:tcW w:w="120" w:type="dxa"/>
            <w:tcBorders/>
            <w:vAlign w:val="bottom"/>
          </w:tcPr>
          <w:p>
            <w:pPr>
              <w:pStyle w:val="TableContents"/>
              <w:bidi w:val="0"/>
              <w:spacing w:before="0" w:after="283"/>
              <w:jc w:val="left"/>
              <w:rPr/>
            </w:pPr>
            <w:r>
              <w:rPr/>
              <w:t>  </w:t>
            </w:r>
          </w:p>
        </w:tc>
        <w:tc>
          <w:tcPr>
            <w:tcW w:w="1846" w:type="dxa"/>
            <w:tcBorders/>
          </w:tcPr>
          <w:p>
            <w:pPr>
              <w:pStyle w:val="TableContents"/>
              <w:bidi w:val="0"/>
              <w:spacing w:before="0" w:after="283"/>
              <w:jc w:val="center"/>
              <w:rPr/>
            </w:pPr>
            <w:r>
              <w:rPr/>
              <w:t>Delaware</w:t>
            </w:r>
          </w:p>
        </w:tc>
        <w:tc>
          <w:tcPr>
            <w:tcW w:w="120" w:type="dxa"/>
            <w:tcBorders/>
            <w:vAlign w:val="bottom"/>
          </w:tcPr>
          <w:p>
            <w:pPr>
              <w:pStyle w:val="TableContents"/>
              <w:bidi w:val="0"/>
              <w:spacing w:before="0" w:after="283"/>
              <w:jc w:val="left"/>
              <w:rPr/>
            </w:pPr>
            <w:r>
              <w:rPr/>
              <w:t>  </w:t>
            </w:r>
          </w:p>
        </w:tc>
        <w:tc>
          <w:tcPr>
            <w:tcW w:w="1888" w:type="dxa"/>
            <w:tcBorders/>
          </w:tcPr>
          <w:p>
            <w:pPr>
              <w:pStyle w:val="TableContents"/>
              <w:bidi w:val="0"/>
              <w:spacing w:before="0" w:after="283"/>
              <w:jc w:val="center"/>
              <w:rPr/>
            </w:pPr>
            <w:r>
              <w:rPr/>
              <w:t>20-8647322</w:t>
            </w:r>
          </w:p>
        </w:tc>
        <w:tc>
          <w:tcPr>
            <w:tcW w:w="120" w:type="dxa"/>
            <w:tcBorders/>
            <w:vAlign w:val="bottom"/>
          </w:tcPr>
          <w:p>
            <w:pPr>
              <w:pStyle w:val="TableContents"/>
              <w:bidi w:val="0"/>
              <w:spacing w:before="0" w:after="283"/>
              <w:jc w:val="left"/>
              <w:rPr/>
            </w:pPr>
            <w:r>
              <w:rPr/>
              <w:t>  </w:t>
            </w:r>
          </w:p>
        </w:tc>
        <w:tc>
          <w:tcPr>
            <w:tcW w:w="1785" w:type="dxa"/>
            <w:tcBorders/>
          </w:tcPr>
          <w:p>
            <w:pPr>
              <w:pStyle w:val="TableContents"/>
              <w:bidi w:val="0"/>
              <w:spacing w:before="0" w:after="283"/>
              <w:jc w:val="center"/>
              <w:rPr/>
            </w:pPr>
            <w:r>
              <w:rPr/>
              <w:t>Texas</w:t>
            </w:r>
          </w:p>
        </w:tc>
      </w:tr>
      <w:tr>
        <w:trPr>
          <w:trHeight w:val="120" w:hRule="atLeast"/>
        </w:trPr>
        <w:tc>
          <w:tcPr>
            <w:tcW w:w="488" w:type="dxa"/>
            <w:tcBorders/>
            <w:vAlign w:val="center"/>
          </w:tcPr>
          <w:p>
            <w:pPr>
              <w:pStyle w:val="TableContents"/>
              <w:bidi w:val="0"/>
              <w:spacing w:before="0" w:after="283"/>
              <w:jc w:val="left"/>
              <w:rPr>
                <w:sz w:val="4"/>
                <w:szCs w:val="4"/>
              </w:rPr>
            </w:pPr>
            <w:r>
              <w:rPr>
                <w:sz w:val="4"/>
                <w:szCs w:val="4"/>
              </w:rPr>
            </w:r>
          </w:p>
        </w:tc>
        <w:tc>
          <w:tcPr>
            <w:tcW w:w="3838" w:type="dxa"/>
            <w:gridSpan w:val="2"/>
            <w:tcBorders/>
            <w:vAlign w:val="center"/>
          </w:tcPr>
          <w:p>
            <w:pPr>
              <w:pStyle w:val="TableContents"/>
              <w:bidi w:val="0"/>
              <w:spacing w:before="0" w:after="283"/>
              <w:jc w:val="left"/>
              <w:rPr>
                <w:sz w:val="4"/>
                <w:szCs w:val="4"/>
              </w:rPr>
            </w:pPr>
            <w:r>
              <w:rPr>
                <w:sz w:val="4"/>
                <w:szCs w:val="4"/>
              </w:rPr>
            </w:r>
          </w:p>
        </w:tc>
        <w:tc>
          <w:tcPr>
            <w:tcW w:w="1966" w:type="dxa"/>
            <w:gridSpan w:val="2"/>
            <w:tcBorders/>
            <w:vAlign w:val="center"/>
          </w:tcPr>
          <w:p>
            <w:pPr>
              <w:pStyle w:val="TableContents"/>
              <w:bidi w:val="0"/>
              <w:spacing w:before="0" w:after="283"/>
              <w:jc w:val="left"/>
              <w:rPr>
                <w:sz w:val="4"/>
                <w:szCs w:val="4"/>
              </w:rPr>
            </w:pPr>
            <w:r>
              <w:rPr>
                <w:sz w:val="4"/>
                <w:szCs w:val="4"/>
              </w:rPr>
            </w:r>
          </w:p>
        </w:tc>
        <w:tc>
          <w:tcPr>
            <w:tcW w:w="2008" w:type="dxa"/>
            <w:gridSpan w:val="2"/>
            <w:tcBorders/>
            <w:vAlign w:val="center"/>
          </w:tcPr>
          <w:p>
            <w:pPr>
              <w:pStyle w:val="TableContents"/>
              <w:bidi w:val="0"/>
              <w:spacing w:before="0" w:after="283"/>
              <w:jc w:val="left"/>
              <w:rPr>
                <w:sz w:val="4"/>
                <w:szCs w:val="4"/>
              </w:rPr>
            </w:pPr>
            <w:r>
              <w:rPr>
                <w:sz w:val="4"/>
                <w:szCs w:val="4"/>
              </w:rPr>
            </w:r>
          </w:p>
        </w:tc>
        <w:tc>
          <w:tcPr>
            <w:tcW w:w="1905" w:type="dxa"/>
            <w:gridSpan w:val="2"/>
            <w:tcBorders/>
            <w:vAlign w:val="center"/>
          </w:tcPr>
          <w:p>
            <w:pPr>
              <w:pStyle w:val="TableContents"/>
              <w:bidi w:val="0"/>
              <w:spacing w:before="0" w:after="283"/>
              <w:jc w:val="left"/>
              <w:rPr>
                <w:sz w:val="4"/>
                <w:szCs w:val="4"/>
              </w:rPr>
            </w:pPr>
            <w:r>
              <w:rPr>
                <w:sz w:val="4"/>
                <w:szCs w:val="4"/>
              </w:rPr>
            </w:r>
          </w:p>
        </w:tc>
      </w:tr>
      <w:tr>
        <w:trPr/>
        <w:tc>
          <w:tcPr>
            <w:tcW w:w="488" w:type="dxa"/>
            <w:tcBorders/>
          </w:tcPr>
          <w:p>
            <w:pPr>
              <w:pStyle w:val="TableContents"/>
              <w:bidi w:val="0"/>
              <w:spacing w:before="0" w:after="283"/>
              <w:jc w:val="left"/>
              <w:rPr/>
            </w:pPr>
            <w:r>
              <w:rPr/>
              <w:t>3.</w:t>
            </w:r>
          </w:p>
        </w:tc>
        <w:tc>
          <w:tcPr>
            <w:tcW w:w="120" w:type="dxa"/>
            <w:tcBorders/>
            <w:vAlign w:val="bottom"/>
          </w:tcPr>
          <w:p>
            <w:pPr>
              <w:pStyle w:val="TableContents"/>
              <w:bidi w:val="0"/>
              <w:spacing w:before="0" w:after="283"/>
              <w:jc w:val="left"/>
              <w:rPr/>
            </w:pPr>
            <w:r>
              <w:rPr/>
              <w:t>  </w:t>
            </w:r>
          </w:p>
        </w:tc>
        <w:tc>
          <w:tcPr>
            <w:tcW w:w="3718" w:type="dxa"/>
            <w:tcBorders/>
          </w:tcPr>
          <w:p>
            <w:pPr>
              <w:pStyle w:val="TableContents"/>
              <w:bidi w:val="0"/>
              <w:spacing w:before="0" w:after="0"/>
              <w:jc w:val="left"/>
              <w:rPr>
                <w:rFonts w:ascii="Times New Roman" w:hAnsi="Times New Roman"/>
                <w:sz w:val="20"/>
              </w:rPr>
            </w:pPr>
            <w:r>
              <w:rPr>
                <w:rFonts w:ascii="Times New Roman" w:hAnsi="Times New Roman"/>
                <w:sz w:val="20"/>
              </w:rPr>
              <w:t>Sabre GLBL, Inc.</w:t>
            </w:r>
          </w:p>
          <w:p>
            <w:pPr>
              <w:pStyle w:val="TableContents"/>
              <w:bidi w:val="0"/>
              <w:spacing w:before="0" w:after="20"/>
              <w:jc w:val="left"/>
              <w:rPr>
                <w:rFonts w:ascii="Times New Roman" w:hAnsi="Times New Roman"/>
                <w:i/>
                <w:sz w:val="20"/>
              </w:rPr>
            </w:pPr>
            <w:r>
              <w:rPr>
                <w:rFonts w:ascii="Times New Roman" w:hAnsi="Times New Roman"/>
                <w:i/>
                <w:sz w:val="20"/>
              </w:rPr>
              <w:t>U.S. Servicer, U.S. Originator and Pledgor</w:t>
            </w:r>
          </w:p>
        </w:tc>
        <w:tc>
          <w:tcPr>
            <w:tcW w:w="120" w:type="dxa"/>
            <w:tcBorders/>
            <w:vAlign w:val="bottom"/>
          </w:tcPr>
          <w:p>
            <w:pPr>
              <w:pStyle w:val="TableContents"/>
              <w:bidi w:val="0"/>
              <w:spacing w:before="0" w:after="283"/>
              <w:jc w:val="left"/>
              <w:rPr/>
            </w:pPr>
            <w:r>
              <w:rPr/>
              <w:t>  </w:t>
            </w:r>
          </w:p>
        </w:tc>
        <w:tc>
          <w:tcPr>
            <w:tcW w:w="1846" w:type="dxa"/>
            <w:tcBorders/>
          </w:tcPr>
          <w:p>
            <w:pPr>
              <w:pStyle w:val="TableContents"/>
              <w:bidi w:val="0"/>
              <w:spacing w:before="0" w:after="283"/>
              <w:jc w:val="center"/>
              <w:rPr/>
            </w:pPr>
            <w:r>
              <w:rPr/>
              <w:t>Delaware</w:t>
            </w:r>
          </w:p>
        </w:tc>
        <w:tc>
          <w:tcPr>
            <w:tcW w:w="120" w:type="dxa"/>
            <w:tcBorders/>
            <w:vAlign w:val="bottom"/>
          </w:tcPr>
          <w:p>
            <w:pPr>
              <w:pStyle w:val="TableContents"/>
              <w:bidi w:val="0"/>
              <w:spacing w:before="0" w:after="283"/>
              <w:jc w:val="left"/>
              <w:rPr/>
            </w:pPr>
            <w:r>
              <w:rPr/>
              <w:t>  </w:t>
            </w:r>
          </w:p>
        </w:tc>
        <w:tc>
          <w:tcPr>
            <w:tcW w:w="1888" w:type="dxa"/>
            <w:tcBorders/>
          </w:tcPr>
          <w:p>
            <w:pPr>
              <w:pStyle w:val="TableContents"/>
              <w:bidi w:val="0"/>
              <w:spacing w:before="0" w:after="283"/>
              <w:jc w:val="center"/>
              <w:rPr/>
            </w:pPr>
            <w:r>
              <w:rPr/>
              <w:t>75-2109502</w:t>
            </w:r>
          </w:p>
        </w:tc>
        <w:tc>
          <w:tcPr>
            <w:tcW w:w="120" w:type="dxa"/>
            <w:tcBorders/>
            <w:vAlign w:val="bottom"/>
          </w:tcPr>
          <w:p>
            <w:pPr>
              <w:pStyle w:val="TableContents"/>
              <w:bidi w:val="0"/>
              <w:spacing w:before="0" w:after="283"/>
              <w:jc w:val="left"/>
              <w:rPr/>
            </w:pPr>
            <w:r>
              <w:rPr/>
              <w:t>  </w:t>
            </w:r>
          </w:p>
        </w:tc>
        <w:tc>
          <w:tcPr>
            <w:tcW w:w="1785" w:type="dxa"/>
            <w:tcBorders/>
          </w:tcPr>
          <w:p>
            <w:pPr>
              <w:pStyle w:val="TableContents"/>
              <w:bidi w:val="0"/>
              <w:spacing w:before="0" w:after="283"/>
              <w:jc w:val="center"/>
              <w:rPr/>
            </w:pPr>
            <w:r>
              <w:rPr/>
              <w:t>Texas</w:t>
            </w:r>
          </w:p>
        </w:tc>
      </w:tr>
      <w:tr>
        <w:trPr>
          <w:trHeight w:val="120" w:hRule="atLeast"/>
        </w:trPr>
        <w:tc>
          <w:tcPr>
            <w:tcW w:w="488" w:type="dxa"/>
            <w:tcBorders/>
            <w:vAlign w:val="center"/>
          </w:tcPr>
          <w:p>
            <w:pPr>
              <w:pStyle w:val="TableContents"/>
              <w:bidi w:val="0"/>
              <w:spacing w:before="0" w:after="283"/>
              <w:jc w:val="left"/>
              <w:rPr>
                <w:sz w:val="4"/>
                <w:szCs w:val="4"/>
              </w:rPr>
            </w:pPr>
            <w:r>
              <w:rPr>
                <w:sz w:val="4"/>
                <w:szCs w:val="4"/>
              </w:rPr>
            </w:r>
          </w:p>
        </w:tc>
        <w:tc>
          <w:tcPr>
            <w:tcW w:w="3838" w:type="dxa"/>
            <w:gridSpan w:val="2"/>
            <w:tcBorders/>
            <w:vAlign w:val="center"/>
          </w:tcPr>
          <w:p>
            <w:pPr>
              <w:pStyle w:val="TableContents"/>
              <w:bidi w:val="0"/>
              <w:spacing w:before="0" w:after="283"/>
              <w:jc w:val="left"/>
              <w:rPr>
                <w:sz w:val="4"/>
                <w:szCs w:val="4"/>
              </w:rPr>
            </w:pPr>
            <w:r>
              <w:rPr>
                <w:sz w:val="4"/>
                <w:szCs w:val="4"/>
              </w:rPr>
            </w:r>
          </w:p>
        </w:tc>
        <w:tc>
          <w:tcPr>
            <w:tcW w:w="1966" w:type="dxa"/>
            <w:gridSpan w:val="2"/>
            <w:tcBorders/>
            <w:vAlign w:val="center"/>
          </w:tcPr>
          <w:p>
            <w:pPr>
              <w:pStyle w:val="TableContents"/>
              <w:bidi w:val="0"/>
              <w:spacing w:before="0" w:after="283"/>
              <w:jc w:val="left"/>
              <w:rPr>
                <w:sz w:val="4"/>
                <w:szCs w:val="4"/>
              </w:rPr>
            </w:pPr>
            <w:r>
              <w:rPr>
                <w:sz w:val="4"/>
                <w:szCs w:val="4"/>
              </w:rPr>
            </w:r>
          </w:p>
        </w:tc>
        <w:tc>
          <w:tcPr>
            <w:tcW w:w="2008" w:type="dxa"/>
            <w:gridSpan w:val="2"/>
            <w:tcBorders/>
            <w:vAlign w:val="center"/>
          </w:tcPr>
          <w:p>
            <w:pPr>
              <w:pStyle w:val="TableContents"/>
              <w:bidi w:val="0"/>
              <w:spacing w:before="0" w:after="283"/>
              <w:jc w:val="left"/>
              <w:rPr>
                <w:sz w:val="4"/>
                <w:szCs w:val="4"/>
              </w:rPr>
            </w:pPr>
            <w:r>
              <w:rPr>
                <w:sz w:val="4"/>
                <w:szCs w:val="4"/>
              </w:rPr>
            </w:r>
          </w:p>
        </w:tc>
        <w:tc>
          <w:tcPr>
            <w:tcW w:w="1905" w:type="dxa"/>
            <w:gridSpan w:val="2"/>
            <w:tcBorders/>
            <w:vAlign w:val="center"/>
          </w:tcPr>
          <w:p>
            <w:pPr>
              <w:pStyle w:val="TableContents"/>
              <w:bidi w:val="0"/>
              <w:spacing w:before="0" w:after="283"/>
              <w:jc w:val="left"/>
              <w:rPr>
                <w:sz w:val="4"/>
                <w:szCs w:val="4"/>
              </w:rPr>
            </w:pPr>
            <w:r>
              <w:rPr>
                <w:sz w:val="4"/>
                <w:szCs w:val="4"/>
              </w:rPr>
            </w:r>
          </w:p>
        </w:tc>
      </w:tr>
      <w:tr>
        <w:trPr/>
        <w:tc>
          <w:tcPr>
            <w:tcW w:w="488" w:type="dxa"/>
            <w:tcBorders/>
          </w:tcPr>
          <w:p>
            <w:pPr>
              <w:pStyle w:val="TableContents"/>
              <w:bidi w:val="0"/>
              <w:spacing w:before="0" w:after="283"/>
              <w:jc w:val="left"/>
              <w:rPr/>
            </w:pPr>
            <w:r>
              <w:rPr/>
              <w:t>5.</w:t>
            </w:r>
          </w:p>
        </w:tc>
        <w:tc>
          <w:tcPr>
            <w:tcW w:w="120" w:type="dxa"/>
            <w:tcBorders/>
            <w:vAlign w:val="bottom"/>
          </w:tcPr>
          <w:p>
            <w:pPr>
              <w:pStyle w:val="TableContents"/>
              <w:bidi w:val="0"/>
              <w:spacing w:before="0" w:after="283"/>
              <w:jc w:val="left"/>
              <w:rPr/>
            </w:pPr>
            <w:r>
              <w:rPr/>
              <w:t>  </w:t>
            </w:r>
          </w:p>
        </w:tc>
        <w:tc>
          <w:tcPr>
            <w:tcW w:w="3718" w:type="dxa"/>
            <w:tcBorders/>
          </w:tcPr>
          <w:p>
            <w:pPr>
              <w:pStyle w:val="TableContents"/>
              <w:bidi w:val="0"/>
              <w:spacing w:before="0" w:after="0"/>
              <w:jc w:val="left"/>
              <w:rPr>
                <w:rFonts w:ascii="Times New Roman" w:hAnsi="Times New Roman"/>
                <w:sz w:val="20"/>
              </w:rPr>
            </w:pPr>
            <w:r>
              <w:rPr>
                <w:rFonts w:ascii="Times New Roman" w:hAnsi="Times New Roman"/>
                <w:sz w:val="20"/>
              </w:rPr>
              <w:t>Prism Group, Inc.</w:t>
            </w:r>
          </w:p>
          <w:p>
            <w:pPr>
              <w:pStyle w:val="TableContents"/>
              <w:bidi w:val="0"/>
              <w:spacing w:before="0" w:after="20"/>
              <w:jc w:val="left"/>
              <w:rPr>
                <w:rFonts w:ascii="Times New Roman" w:hAnsi="Times New Roman"/>
                <w:i/>
                <w:sz w:val="20"/>
              </w:rPr>
            </w:pPr>
            <w:r>
              <w:rPr>
                <w:rFonts w:ascii="Times New Roman" w:hAnsi="Times New Roman"/>
                <w:i/>
                <w:sz w:val="20"/>
              </w:rPr>
              <w:t>U.S. Originator</w:t>
            </w:r>
          </w:p>
        </w:tc>
        <w:tc>
          <w:tcPr>
            <w:tcW w:w="120" w:type="dxa"/>
            <w:tcBorders/>
            <w:vAlign w:val="bottom"/>
          </w:tcPr>
          <w:p>
            <w:pPr>
              <w:pStyle w:val="TableContents"/>
              <w:bidi w:val="0"/>
              <w:spacing w:before="0" w:after="283"/>
              <w:jc w:val="left"/>
              <w:rPr/>
            </w:pPr>
            <w:r>
              <w:rPr/>
              <w:t>  </w:t>
            </w:r>
          </w:p>
        </w:tc>
        <w:tc>
          <w:tcPr>
            <w:tcW w:w="1846" w:type="dxa"/>
            <w:tcBorders/>
          </w:tcPr>
          <w:p>
            <w:pPr>
              <w:pStyle w:val="TableContents"/>
              <w:bidi w:val="0"/>
              <w:spacing w:before="0" w:after="283"/>
              <w:jc w:val="center"/>
              <w:rPr/>
            </w:pPr>
            <w:r>
              <w:rPr/>
              <w:t>Maryland</w:t>
            </w:r>
          </w:p>
        </w:tc>
        <w:tc>
          <w:tcPr>
            <w:tcW w:w="120" w:type="dxa"/>
            <w:tcBorders/>
            <w:vAlign w:val="bottom"/>
          </w:tcPr>
          <w:p>
            <w:pPr>
              <w:pStyle w:val="TableContents"/>
              <w:bidi w:val="0"/>
              <w:spacing w:before="0" w:after="283"/>
              <w:jc w:val="left"/>
              <w:rPr/>
            </w:pPr>
            <w:r>
              <w:rPr/>
              <w:t>  </w:t>
            </w:r>
          </w:p>
        </w:tc>
        <w:tc>
          <w:tcPr>
            <w:tcW w:w="1888" w:type="dxa"/>
            <w:tcBorders/>
          </w:tcPr>
          <w:p>
            <w:pPr>
              <w:pStyle w:val="TableContents"/>
              <w:bidi w:val="0"/>
              <w:spacing w:before="0" w:after="283"/>
              <w:jc w:val="center"/>
              <w:rPr/>
            </w:pPr>
            <w:r>
              <w:rPr/>
              <w:t>52-1550391</w:t>
            </w:r>
          </w:p>
        </w:tc>
        <w:tc>
          <w:tcPr>
            <w:tcW w:w="120" w:type="dxa"/>
            <w:tcBorders/>
            <w:vAlign w:val="bottom"/>
          </w:tcPr>
          <w:p>
            <w:pPr>
              <w:pStyle w:val="TableContents"/>
              <w:bidi w:val="0"/>
              <w:spacing w:before="0" w:after="283"/>
              <w:jc w:val="left"/>
              <w:rPr/>
            </w:pPr>
            <w:r>
              <w:rPr/>
              <w:t>  </w:t>
            </w:r>
          </w:p>
        </w:tc>
        <w:tc>
          <w:tcPr>
            <w:tcW w:w="1785" w:type="dxa"/>
            <w:tcBorders/>
          </w:tcPr>
          <w:p>
            <w:pPr>
              <w:pStyle w:val="TableContents"/>
              <w:bidi w:val="0"/>
              <w:spacing w:before="0" w:after="283"/>
              <w:jc w:val="center"/>
              <w:rPr/>
            </w:pPr>
            <w:r>
              <w:rPr/>
              <w:t>Texas</w:t>
            </w:r>
          </w:p>
        </w:tc>
      </w:tr>
      <w:tr>
        <w:trPr>
          <w:trHeight w:val="120" w:hRule="atLeast"/>
        </w:trPr>
        <w:tc>
          <w:tcPr>
            <w:tcW w:w="488" w:type="dxa"/>
            <w:tcBorders/>
            <w:vAlign w:val="center"/>
          </w:tcPr>
          <w:p>
            <w:pPr>
              <w:pStyle w:val="TableContents"/>
              <w:bidi w:val="0"/>
              <w:spacing w:before="0" w:after="283"/>
              <w:jc w:val="left"/>
              <w:rPr>
                <w:sz w:val="4"/>
                <w:szCs w:val="4"/>
              </w:rPr>
            </w:pPr>
            <w:r>
              <w:rPr>
                <w:sz w:val="4"/>
                <w:szCs w:val="4"/>
              </w:rPr>
            </w:r>
          </w:p>
        </w:tc>
        <w:tc>
          <w:tcPr>
            <w:tcW w:w="3838" w:type="dxa"/>
            <w:gridSpan w:val="2"/>
            <w:tcBorders/>
            <w:vAlign w:val="center"/>
          </w:tcPr>
          <w:p>
            <w:pPr>
              <w:pStyle w:val="TableContents"/>
              <w:bidi w:val="0"/>
              <w:spacing w:before="0" w:after="283"/>
              <w:jc w:val="left"/>
              <w:rPr>
                <w:sz w:val="4"/>
                <w:szCs w:val="4"/>
              </w:rPr>
            </w:pPr>
            <w:r>
              <w:rPr>
                <w:sz w:val="4"/>
                <w:szCs w:val="4"/>
              </w:rPr>
            </w:r>
          </w:p>
        </w:tc>
        <w:tc>
          <w:tcPr>
            <w:tcW w:w="1966" w:type="dxa"/>
            <w:gridSpan w:val="2"/>
            <w:tcBorders/>
            <w:vAlign w:val="center"/>
          </w:tcPr>
          <w:p>
            <w:pPr>
              <w:pStyle w:val="TableContents"/>
              <w:bidi w:val="0"/>
              <w:spacing w:before="0" w:after="283"/>
              <w:jc w:val="left"/>
              <w:rPr>
                <w:sz w:val="4"/>
                <w:szCs w:val="4"/>
              </w:rPr>
            </w:pPr>
            <w:r>
              <w:rPr>
                <w:sz w:val="4"/>
                <w:szCs w:val="4"/>
              </w:rPr>
            </w:r>
          </w:p>
        </w:tc>
        <w:tc>
          <w:tcPr>
            <w:tcW w:w="2008" w:type="dxa"/>
            <w:gridSpan w:val="2"/>
            <w:tcBorders/>
            <w:vAlign w:val="center"/>
          </w:tcPr>
          <w:p>
            <w:pPr>
              <w:pStyle w:val="TableContents"/>
              <w:bidi w:val="0"/>
              <w:spacing w:before="0" w:after="283"/>
              <w:jc w:val="left"/>
              <w:rPr>
                <w:sz w:val="4"/>
                <w:szCs w:val="4"/>
              </w:rPr>
            </w:pPr>
            <w:r>
              <w:rPr>
                <w:sz w:val="4"/>
                <w:szCs w:val="4"/>
              </w:rPr>
            </w:r>
          </w:p>
        </w:tc>
        <w:tc>
          <w:tcPr>
            <w:tcW w:w="1905" w:type="dxa"/>
            <w:gridSpan w:val="2"/>
            <w:tcBorders/>
            <w:vAlign w:val="center"/>
          </w:tcPr>
          <w:p>
            <w:pPr>
              <w:pStyle w:val="TableContents"/>
              <w:bidi w:val="0"/>
              <w:spacing w:before="0" w:after="283"/>
              <w:jc w:val="left"/>
              <w:rPr>
                <w:sz w:val="4"/>
                <w:szCs w:val="4"/>
              </w:rPr>
            </w:pPr>
            <w:r>
              <w:rPr>
                <w:sz w:val="4"/>
                <w:szCs w:val="4"/>
              </w:rPr>
            </w:r>
          </w:p>
        </w:tc>
      </w:tr>
      <w:tr>
        <w:trPr/>
        <w:tc>
          <w:tcPr>
            <w:tcW w:w="488" w:type="dxa"/>
            <w:tcBorders/>
          </w:tcPr>
          <w:p>
            <w:pPr>
              <w:pStyle w:val="TableContents"/>
              <w:bidi w:val="0"/>
              <w:spacing w:before="0" w:after="283"/>
              <w:jc w:val="left"/>
              <w:rPr/>
            </w:pPr>
            <w:r>
              <w:rPr/>
              <w:t>6.</w:t>
            </w:r>
          </w:p>
        </w:tc>
        <w:tc>
          <w:tcPr>
            <w:tcW w:w="120" w:type="dxa"/>
            <w:tcBorders/>
            <w:vAlign w:val="bottom"/>
          </w:tcPr>
          <w:p>
            <w:pPr>
              <w:pStyle w:val="TableContents"/>
              <w:bidi w:val="0"/>
              <w:spacing w:before="0" w:after="283"/>
              <w:jc w:val="left"/>
              <w:rPr/>
            </w:pPr>
            <w:r>
              <w:rPr/>
              <w:t>  </w:t>
            </w:r>
          </w:p>
        </w:tc>
        <w:tc>
          <w:tcPr>
            <w:tcW w:w="3718" w:type="dxa"/>
            <w:tcBorders/>
          </w:tcPr>
          <w:p>
            <w:pPr>
              <w:pStyle w:val="TableContents"/>
              <w:bidi w:val="0"/>
              <w:spacing w:before="0" w:after="0"/>
              <w:jc w:val="left"/>
              <w:rPr>
                <w:rFonts w:ascii="Times New Roman" w:hAnsi="Times New Roman"/>
                <w:sz w:val="20"/>
              </w:rPr>
            </w:pPr>
            <w:r>
              <w:rPr>
                <w:rFonts w:ascii="Times New Roman" w:hAnsi="Times New Roman"/>
                <w:sz w:val="20"/>
              </w:rPr>
              <w:t>Radixx Solutions International, Inc.</w:t>
            </w:r>
          </w:p>
          <w:p>
            <w:pPr>
              <w:pStyle w:val="TableContents"/>
              <w:bidi w:val="0"/>
              <w:spacing w:before="0" w:after="20"/>
              <w:jc w:val="left"/>
              <w:rPr>
                <w:rFonts w:ascii="Times New Roman" w:hAnsi="Times New Roman"/>
                <w:i/>
                <w:sz w:val="20"/>
              </w:rPr>
            </w:pPr>
            <w:r>
              <w:rPr>
                <w:rFonts w:ascii="Times New Roman" w:hAnsi="Times New Roman"/>
                <w:i/>
                <w:sz w:val="20"/>
              </w:rPr>
              <w:t>U.S. Originator</w:t>
            </w:r>
          </w:p>
        </w:tc>
        <w:tc>
          <w:tcPr>
            <w:tcW w:w="120" w:type="dxa"/>
            <w:tcBorders/>
            <w:vAlign w:val="bottom"/>
          </w:tcPr>
          <w:p>
            <w:pPr>
              <w:pStyle w:val="TableContents"/>
              <w:bidi w:val="0"/>
              <w:spacing w:before="0" w:after="283"/>
              <w:jc w:val="left"/>
              <w:rPr/>
            </w:pPr>
            <w:r>
              <w:rPr/>
              <w:t>  </w:t>
            </w:r>
          </w:p>
        </w:tc>
        <w:tc>
          <w:tcPr>
            <w:tcW w:w="1846" w:type="dxa"/>
            <w:tcBorders/>
          </w:tcPr>
          <w:p>
            <w:pPr>
              <w:pStyle w:val="TableContents"/>
              <w:bidi w:val="0"/>
              <w:spacing w:before="0" w:after="283"/>
              <w:jc w:val="center"/>
              <w:rPr/>
            </w:pPr>
            <w:r>
              <w:rPr/>
              <w:t>Delaware</w:t>
            </w:r>
          </w:p>
        </w:tc>
        <w:tc>
          <w:tcPr>
            <w:tcW w:w="120" w:type="dxa"/>
            <w:tcBorders/>
            <w:vAlign w:val="bottom"/>
          </w:tcPr>
          <w:p>
            <w:pPr>
              <w:pStyle w:val="TableContents"/>
              <w:bidi w:val="0"/>
              <w:spacing w:before="0" w:after="283"/>
              <w:jc w:val="left"/>
              <w:rPr/>
            </w:pPr>
            <w:r>
              <w:rPr/>
              <w:t>  </w:t>
            </w:r>
          </w:p>
        </w:tc>
        <w:tc>
          <w:tcPr>
            <w:tcW w:w="1888" w:type="dxa"/>
            <w:tcBorders/>
          </w:tcPr>
          <w:p>
            <w:pPr>
              <w:pStyle w:val="TableContents"/>
              <w:bidi w:val="0"/>
              <w:spacing w:before="0" w:after="283"/>
              <w:jc w:val="center"/>
              <w:rPr/>
            </w:pPr>
            <w:r>
              <w:rPr/>
              <w:t>52-2088221</w:t>
            </w:r>
          </w:p>
        </w:tc>
        <w:tc>
          <w:tcPr>
            <w:tcW w:w="120" w:type="dxa"/>
            <w:tcBorders/>
            <w:vAlign w:val="bottom"/>
          </w:tcPr>
          <w:p>
            <w:pPr>
              <w:pStyle w:val="TableContents"/>
              <w:bidi w:val="0"/>
              <w:spacing w:before="0" w:after="283"/>
              <w:jc w:val="left"/>
              <w:rPr/>
            </w:pPr>
            <w:r>
              <w:rPr/>
              <w:t>  </w:t>
            </w:r>
          </w:p>
        </w:tc>
        <w:tc>
          <w:tcPr>
            <w:tcW w:w="1785" w:type="dxa"/>
            <w:tcBorders/>
          </w:tcPr>
          <w:p>
            <w:pPr>
              <w:pStyle w:val="TableContents"/>
              <w:bidi w:val="0"/>
              <w:spacing w:before="0" w:after="283"/>
              <w:jc w:val="center"/>
              <w:rPr/>
            </w:pPr>
            <w:r>
              <w:rPr/>
              <w:t>Texas</w:t>
            </w:r>
          </w:p>
        </w:tc>
      </w:tr>
      <w:tr>
        <w:trPr>
          <w:trHeight w:val="120" w:hRule="atLeast"/>
        </w:trPr>
        <w:tc>
          <w:tcPr>
            <w:tcW w:w="488" w:type="dxa"/>
            <w:tcBorders/>
            <w:vAlign w:val="center"/>
          </w:tcPr>
          <w:p>
            <w:pPr>
              <w:pStyle w:val="TableContents"/>
              <w:bidi w:val="0"/>
              <w:spacing w:before="0" w:after="283"/>
              <w:jc w:val="left"/>
              <w:rPr>
                <w:sz w:val="4"/>
                <w:szCs w:val="4"/>
              </w:rPr>
            </w:pPr>
            <w:r>
              <w:rPr>
                <w:sz w:val="4"/>
                <w:szCs w:val="4"/>
              </w:rPr>
            </w:r>
          </w:p>
        </w:tc>
        <w:tc>
          <w:tcPr>
            <w:tcW w:w="3838" w:type="dxa"/>
            <w:gridSpan w:val="2"/>
            <w:tcBorders/>
            <w:vAlign w:val="center"/>
          </w:tcPr>
          <w:p>
            <w:pPr>
              <w:pStyle w:val="TableContents"/>
              <w:bidi w:val="0"/>
              <w:spacing w:before="0" w:after="283"/>
              <w:jc w:val="left"/>
              <w:rPr>
                <w:sz w:val="4"/>
                <w:szCs w:val="4"/>
              </w:rPr>
            </w:pPr>
            <w:r>
              <w:rPr>
                <w:sz w:val="4"/>
                <w:szCs w:val="4"/>
              </w:rPr>
            </w:r>
          </w:p>
        </w:tc>
        <w:tc>
          <w:tcPr>
            <w:tcW w:w="1966" w:type="dxa"/>
            <w:gridSpan w:val="2"/>
            <w:tcBorders/>
            <w:vAlign w:val="center"/>
          </w:tcPr>
          <w:p>
            <w:pPr>
              <w:pStyle w:val="TableContents"/>
              <w:bidi w:val="0"/>
              <w:spacing w:before="0" w:after="283"/>
              <w:jc w:val="left"/>
              <w:rPr>
                <w:sz w:val="4"/>
                <w:szCs w:val="4"/>
              </w:rPr>
            </w:pPr>
            <w:r>
              <w:rPr>
                <w:sz w:val="4"/>
                <w:szCs w:val="4"/>
              </w:rPr>
            </w:r>
          </w:p>
        </w:tc>
        <w:tc>
          <w:tcPr>
            <w:tcW w:w="2008" w:type="dxa"/>
            <w:gridSpan w:val="2"/>
            <w:tcBorders/>
            <w:vAlign w:val="center"/>
          </w:tcPr>
          <w:p>
            <w:pPr>
              <w:pStyle w:val="TableContents"/>
              <w:bidi w:val="0"/>
              <w:spacing w:before="0" w:after="283"/>
              <w:jc w:val="left"/>
              <w:rPr>
                <w:sz w:val="4"/>
                <w:szCs w:val="4"/>
              </w:rPr>
            </w:pPr>
            <w:r>
              <w:rPr>
                <w:sz w:val="4"/>
                <w:szCs w:val="4"/>
              </w:rPr>
            </w:r>
          </w:p>
        </w:tc>
        <w:tc>
          <w:tcPr>
            <w:tcW w:w="1905" w:type="dxa"/>
            <w:gridSpan w:val="2"/>
            <w:tcBorders/>
            <w:vAlign w:val="center"/>
          </w:tcPr>
          <w:p>
            <w:pPr>
              <w:pStyle w:val="TableContents"/>
              <w:bidi w:val="0"/>
              <w:spacing w:before="0" w:after="283"/>
              <w:jc w:val="left"/>
              <w:rPr>
                <w:sz w:val="4"/>
                <w:szCs w:val="4"/>
              </w:rPr>
            </w:pPr>
            <w:r>
              <w:rPr>
                <w:sz w:val="4"/>
                <w:szCs w:val="4"/>
              </w:rPr>
            </w:r>
          </w:p>
        </w:tc>
      </w:tr>
      <w:tr>
        <w:trPr/>
        <w:tc>
          <w:tcPr>
            <w:tcW w:w="488" w:type="dxa"/>
            <w:tcBorders/>
          </w:tcPr>
          <w:p>
            <w:pPr>
              <w:pStyle w:val="TableContents"/>
              <w:bidi w:val="0"/>
              <w:spacing w:before="0" w:after="283"/>
              <w:jc w:val="left"/>
              <w:rPr/>
            </w:pPr>
            <w:r>
              <w:rPr/>
              <w:t>7.</w:t>
            </w:r>
          </w:p>
        </w:tc>
        <w:tc>
          <w:tcPr>
            <w:tcW w:w="120" w:type="dxa"/>
            <w:tcBorders/>
            <w:vAlign w:val="bottom"/>
          </w:tcPr>
          <w:p>
            <w:pPr>
              <w:pStyle w:val="TableContents"/>
              <w:bidi w:val="0"/>
              <w:spacing w:before="0" w:after="283"/>
              <w:jc w:val="left"/>
              <w:rPr/>
            </w:pPr>
            <w:r>
              <w:rPr/>
              <w:t>  </w:t>
            </w:r>
          </w:p>
        </w:tc>
        <w:tc>
          <w:tcPr>
            <w:tcW w:w="3718" w:type="dxa"/>
            <w:tcBorders/>
          </w:tcPr>
          <w:p>
            <w:pPr>
              <w:pStyle w:val="TableContents"/>
              <w:bidi w:val="0"/>
              <w:spacing w:before="0" w:after="0"/>
              <w:jc w:val="left"/>
              <w:rPr>
                <w:rFonts w:ascii="Times New Roman" w:hAnsi="Times New Roman"/>
                <w:sz w:val="20"/>
              </w:rPr>
            </w:pPr>
            <w:r>
              <w:rPr>
                <w:rFonts w:ascii="Times New Roman" w:hAnsi="Times New Roman"/>
                <w:sz w:val="20"/>
              </w:rPr>
              <w:t>Sabre Global Technologies Limited</w:t>
            </w:r>
          </w:p>
          <w:p>
            <w:pPr>
              <w:pStyle w:val="TableContents"/>
              <w:bidi w:val="0"/>
              <w:spacing w:before="0" w:after="20"/>
              <w:jc w:val="left"/>
              <w:rPr>
                <w:rFonts w:ascii="Times New Roman" w:hAnsi="Times New Roman"/>
                <w:i/>
                <w:sz w:val="20"/>
              </w:rPr>
            </w:pPr>
            <w:r>
              <w:rPr>
                <w:rFonts w:ascii="Times New Roman" w:hAnsi="Times New Roman"/>
                <w:i/>
                <w:sz w:val="20"/>
              </w:rPr>
              <w:t>UK Servicer and U.K. Originator</w:t>
            </w:r>
          </w:p>
        </w:tc>
        <w:tc>
          <w:tcPr>
            <w:tcW w:w="120" w:type="dxa"/>
            <w:tcBorders/>
            <w:vAlign w:val="bottom"/>
          </w:tcPr>
          <w:p>
            <w:pPr>
              <w:pStyle w:val="TableContents"/>
              <w:bidi w:val="0"/>
              <w:spacing w:before="0" w:after="283"/>
              <w:jc w:val="left"/>
              <w:rPr/>
            </w:pPr>
            <w:r>
              <w:rPr/>
              <w:t>  </w:t>
            </w:r>
          </w:p>
        </w:tc>
        <w:tc>
          <w:tcPr>
            <w:tcW w:w="1846" w:type="dxa"/>
            <w:tcBorders/>
          </w:tcPr>
          <w:p>
            <w:pPr>
              <w:pStyle w:val="TableContents"/>
              <w:bidi w:val="0"/>
              <w:spacing w:before="0" w:after="283"/>
              <w:jc w:val="center"/>
              <w:rPr/>
            </w:pPr>
            <w:r>
              <w:rPr/>
              <w:t>England and Wales</w:t>
            </w:r>
          </w:p>
        </w:tc>
        <w:tc>
          <w:tcPr>
            <w:tcW w:w="120" w:type="dxa"/>
            <w:tcBorders/>
            <w:vAlign w:val="bottom"/>
          </w:tcPr>
          <w:p>
            <w:pPr>
              <w:pStyle w:val="TableContents"/>
              <w:bidi w:val="0"/>
              <w:spacing w:before="0" w:after="283"/>
              <w:jc w:val="left"/>
              <w:rPr/>
            </w:pPr>
            <w:r>
              <w:rPr/>
              <w:t>  </w:t>
            </w:r>
          </w:p>
        </w:tc>
        <w:tc>
          <w:tcPr>
            <w:tcW w:w="1888" w:type="dxa"/>
            <w:tcBorders/>
          </w:tcPr>
          <w:p>
            <w:pPr>
              <w:pStyle w:val="TableContents"/>
              <w:bidi w:val="0"/>
              <w:spacing w:before="0" w:after="283"/>
              <w:jc w:val="center"/>
              <w:rPr/>
            </w:pPr>
            <w:r>
              <w:rPr/>
              <w:t>454 47597 27503</w:t>
            </w:r>
          </w:p>
        </w:tc>
        <w:tc>
          <w:tcPr>
            <w:tcW w:w="120" w:type="dxa"/>
            <w:tcBorders/>
            <w:vAlign w:val="bottom"/>
          </w:tcPr>
          <w:p>
            <w:pPr>
              <w:pStyle w:val="TableContents"/>
              <w:bidi w:val="0"/>
              <w:spacing w:before="0" w:after="283"/>
              <w:jc w:val="left"/>
              <w:rPr/>
            </w:pPr>
            <w:r>
              <w:rPr/>
              <w:t>  </w:t>
            </w:r>
          </w:p>
        </w:tc>
        <w:tc>
          <w:tcPr>
            <w:tcW w:w="1785" w:type="dxa"/>
            <w:tcBorders/>
          </w:tcPr>
          <w:p>
            <w:pPr>
              <w:pStyle w:val="TableContents"/>
              <w:bidi w:val="0"/>
              <w:spacing w:before="0" w:after="283"/>
              <w:jc w:val="center"/>
              <w:rPr/>
            </w:pPr>
            <w:r>
              <w:rPr/>
              <w:t>Richmond</w:t>
            </w:r>
          </w:p>
        </w:tc>
      </w:tr>
      <w:tr>
        <w:trPr>
          <w:trHeight w:val="120" w:hRule="atLeast"/>
        </w:trPr>
        <w:tc>
          <w:tcPr>
            <w:tcW w:w="488" w:type="dxa"/>
            <w:tcBorders/>
            <w:vAlign w:val="center"/>
          </w:tcPr>
          <w:p>
            <w:pPr>
              <w:pStyle w:val="TableContents"/>
              <w:bidi w:val="0"/>
              <w:spacing w:before="0" w:after="283"/>
              <w:jc w:val="left"/>
              <w:rPr>
                <w:sz w:val="4"/>
                <w:szCs w:val="4"/>
              </w:rPr>
            </w:pPr>
            <w:r>
              <w:rPr>
                <w:sz w:val="4"/>
                <w:szCs w:val="4"/>
              </w:rPr>
            </w:r>
          </w:p>
        </w:tc>
        <w:tc>
          <w:tcPr>
            <w:tcW w:w="3838" w:type="dxa"/>
            <w:gridSpan w:val="2"/>
            <w:tcBorders/>
            <w:vAlign w:val="center"/>
          </w:tcPr>
          <w:p>
            <w:pPr>
              <w:pStyle w:val="TableContents"/>
              <w:bidi w:val="0"/>
              <w:spacing w:before="0" w:after="283"/>
              <w:jc w:val="left"/>
              <w:rPr>
                <w:sz w:val="4"/>
                <w:szCs w:val="4"/>
              </w:rPr>
            </w:pPr>
            <w:r>
              <w:rPr>
                <w:sz w:val="4"/>
                <w:szCs w:val="4"/>
              </w:rPr>
            </w:r>
          </w:p>
        </w:tc>
        <w:tc>
          <w:tcPr>
            <w:tcW w:w="1966" w:type="dxa"/>
            <w:gridSpan w:val="2"/>
            <w:tcBorders/>
            <w:vAlign w:val="center"/>
          </w:tcPr>
          <w:p>
            <w:pPr>
              <w:pStyle w:val="TableContents"/>
              <w:bidi w:val="0"/>
              <w:spacing w:before="0" w:after="283"/>
              <w:jc w:val="left"/>
              <w:rPr>
                <w:sz w:val="4"/>
                <w:szCs w:val="4"/>
              </w:rPr>
            </w:pPr>
            <w:r>
              <w:rPr>
                <w:sz w:val="4"/>
                <w:szCs w:val="4"/>
              </w:rPr>
            </w:r>
          </w:p>
        </w:tc>
        <w:tc>
          <w:tcPr>
            <w:tcW w:w="2008" w:type="dxa"/>
            <w:gridSpan w:val="2"/>
            <w:tcBorders/>
            <w:vAlign w:val="center"/>
          </w:tcPr>
          <w:p>
            <w:pPr>
              <w:pStyle w:val="TableContents"/>
              <w:bidi w:val="0"/>
              <w:spacing w:before="0" w:after="283"/>
              <w:jc w:val="left"/>
              <w:rPr>
                <w:sz w:val="4"/>
                <w:szCs w:val="4"/>
              </w:rPr>
            </w:pPr>
            <w:r>
              <w:rPr>
                <w:sz w:val="4"/>
                <w:szCs w:val="4"/>
              </w:rPr>
            </w:r>
          </w:p>
        </w:tc>
        <w:tc>
          <w:tcPr>
            <w:tcW w:w="1905" w:type="dxa"/>
            <w:gridSpan w:val="2"/>
            <w:tcBorders/>
            <w:vAlign w:val="center"/>
          </w:tcPr>
          <w:p>
            <w:pPr>
              <w:pStyle w:val="TableContents"/>
              <w:bidi w:val="0"/>
              <w:spacing w:before="0" w:after="283"/>
              <w:jc w:val="left"/>
              <w:rPr>
                <w:sz w:val="4"/>
                <w:szCs w:val="4"/>
              </w:rPr>
            </w:pPr>
            <w:r>
              <w:rPr>
                <w:sz w:val="4"/>
                <w:szCs w:val="4"/>
              </w:rPr>
            </w:r>
          </w:p>
        </w:tc>
      </w:tr>
      <w:tr>
        <w:trPr/>
        <w:tc>
          <w:tcPr>
            <w:tcW w:w="488" w:type="dxa"/>
            <w:tcBorders/>
          </w:tcPr>
          <w:p>
            <w:pPr>
              <w:pStyle w:val="TableContents"/>
              <w:bidi w:val="0"/>
              <w:spacing w:before="0" w:after="283"/>
              <w:jc w:val="left"/>
              <w:rPr/>
            </w:pPr>
            <w:r>
              <w:rPr/>
              <w:t>8.</w:t>
            </w:r>
          </w:p>
        </w:tc>
        <w:tc>
          <w:tcPr>
            <w:tcW w:w="120" w:type="dxa"/>
            <w:tcBorders/>
            <w:vAlign w:val="bottom"/>
          </w:tcPr>
          <w:p>
            <w:pPr>
              <w:pStyle w:val="TableContents"/>
              <w:bidi w:val="0"/>
              <w:spacing w:before="0" w:after="283"/>
              <w:jc w:val="left"/>
              <w:rPr/>
            </w:pPr>
            <w:r>
              <w:rPr/>
              <w:t>  </w:t>
            </w:r>
          </w:p>
        </w:tc>
        <w:tc>
          <w:tcPr>
            <w:tcW w:w="3718" w:type="dxa"/>
            <w:tcBorders/>
          </w:tcPr>
          <w:p>
            <w:pPr>
              <w:pStyle w:val="TableContents"/>
              <w:bidi w:val="0"/>
              <w:spacing w:before="0" w:after="283"/>
              <w:jc w:val="left"/>
              <w:rPr/>
            </w:pPr>
            <w:r>
              <w:rPr/>
              <w:t>Sabre Asia Pacific Pte. Ltd</w:t>
            </w:r>
          </w:p>
        </w:tc>
        <w:tc>
          <w:tcPr>
            <w:tcW w:w="120" w:type="dxa"/>
            <w:tcBorders/>
            <w:vAlign w:val="bottom"/>
          </w:tcPr>
          <w:p>
            <w:pPr>
              <w:pStyle w:val="TableContents"/>
              <w:bidi w:val="0"/>
              <w:spacing w:before="0" w:after="283"/>
              <w:jc w:val="left"/>
              <w:rPr/>
            </w:pPr>
            <w:r>
              <w:rPr/>
              <w:t>  </w:t>
            </w:r>
          </w:p>
        </w:tc>
        <w:tc>
          <w:tcPr>
            <w:tcW w:w="1846" w:type="dxa"/>
            <w:tcBorders/>
          </w:tcPr>
          <w:p>
            <w:pPr>
              <w:pStyle w:val="TableContents"/>
              <w:bidi w:val="0"/>
              <w:spacing w:before="0" w:after="283"/>
              <w:jc w:val="center"/>
              <w:rPr/>
            </w:pPr>
            <w:r>
              <w:rPr/>
              <w:t>Singapore</w:t>
            </w:r>
          </w:p>
        </w:tc>
        <w:tc>
          <w:tcPr>
            <w:tcW w:w="120" w:type="dxa"/>
            <w:tcBorders/>
            <w:vAlign w:val="bottom"/>
          </w:tcPr>
          <w:p>
            <w:pPr>
              <w:pStyle w:val="TableContents"/>
              <w:bidi w:val="0"/>
              <w:spacing w:before="0" w:after="283"/>
              <w:jc w:val="left"/>
              <w:rPr/>
            </w:pPr>
            <w:r>
              <w:rPr/>
              <w:t>  </w:t>
            </w:r>
          </w:p>
        </w:tc>
        <w:tc>
          <w:tcPr>
            <w:tcW w:w="1888" w:type="dxa"/>
            <w:tcBorders/>
          </w:tcPr>
          <w:p>
            <w:pPr>
              <w:pStyle w:val="TableContents"/>
              <w:bidi w:val="0"/>
              <w:spacing w:before="0" w:after="283"/>
              <w:jc w:val="center"/>
              <w:rPr/>
            </w:pPr>
            <w:r>
              <w:rPr/>
              <w:t>199707985K</w:t>
            </w:r>
          </w:p>
        </w:tc>
        <w:tc>
          <w:tcPr>
            <w:tcW w:w="120" w:type="dxa"/>
            <w:tcBorders/>
            <w:vAlign w:val="bottom"/>
          </w:tcPr>
          <w:p>
            <w:pPr>
              <w:pStyle w:val="TableContents"/>
              <w:bidi w:val="0"/>
              <w:spacing w:before="0" w:after="283"/>
              <w:jc w:val="left"/>
              <w:rPr/>
            </w:pPr>
            <w:r>
              <w:rPr/>
              <w:t>  </w:t>
            </w:r>
          </w:p>
        </w:tc>
        <w:tc>
          <w:tcPr>
            <w:tcW w:w="1785" w:type="dxa"/>
            <w:tcBorders/>
          </w:tcPr>
          <w:p>
            <w:pPr>
              <w:pStyle w:val="TableContents"/>
              <w:bidi w:val="0"/>
              <w:spacing w:before="0" w:after="283"/>
              <w:jc w:val="center"/>
              <w:rPr/>
            </w:pPr>
            <w:r>
              <w:rPr/>
              <w:t>Singapore</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462"/>
        <w:gridCol w:w="123"/>
        <w:gridCol w:w="1780"/>
        <w:gridCol w:w="123"/>
        <w:gridCol w:w="2167"/>
        <w:gridCol w:w="123"/>
        <w:gridCol w:w="2427"/>
      </w:tblGrid>
      <w:tr>
        <w:trPr/>
        <w:tc>
          <w:tcPr>
            <w:tcW w:w="346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r>
      <w:tr>
        <w:trPr/>
        <w:tc>
          <w:tcPr>
            <w:tcW w:w="3462"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Document</w:t>
            </w:r>
          </w:p>
        </w:tc>
        <w:tc>
          <w:tcPr>
            <w:tcW w:w="123" w:type="dxa"/>
            <w:tcBorders/>
            <w:vAlign w:val="bottom"/>
          </w:tcPr>
          <w:p>
            <w:pPr>
              <w:pStyle w:val="TableContents"/>
              <w:bidi w:val="0"/>
              <w:spacing w:before="0" w:after="283"/>
              <w:jc w:val="left"/>
              <w:rPr/>
            </w:pPr>
            <w:r>
              <w:rPr/>
              <w:t>  </w:t>
            </w:r>
          </w:p>
        </w:tc>
        <w:tc>
          <w:tcPr>
            <w:tcW w:w="178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Responsible</w:t>
            </w:r>
          </w:p>
          <w:p>
            <w:pPr>
              <w:pStyle w:val="TableContents"/>
              <w:bidi w:val="0"/>
              <w:spacing w:before="0" w:after="20"/>
              <w:jc w:val="center"/>
              <w:rPr>
                <w:rFonts w:ascii="Times New Roman" w:hAnsi="Times New Roman"/>
                <w:sz w:val="16"/>
              </w:rPr>
            </w:pPr>
            <w:r>
              <w:rPr>
                <w:rFonts w:ascii="Times New Roman" w:hAnsi="Times New Roman"/>
                <w:sz w:val="16"/>
              </w:rPr>
              <w:t>Party</w:t>
            </w:r>
          </w:p>
        </w:tc>
        <w:tc>
          <w:tcPr>
            <w:tcW w:w="123" w:type="dxa"/>
            <w:tcBorders/>
            <w:vAlign w:val="bottom"/>
          </w:tcPr>
          <w:p>
            <w:pPr>
              <w:pStyle w:val="TableContents"/>
              <w:bidi w:val="0"/>
              <w:spacing w:before="0" w:after="283"/>
              <w:jc w:val="left"/>
              <w:rPr/>
            </w:pPr>
            <w:r>
              <w:rPr/>
              <w:t>  </w:t>
            </w:r>
          </w:p>
        </w:tc>
        <w:tc>
          <w:tcPr>
            <w:tcW w:w="216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Signatures Needed</w:t>
            </w:r>
          </w:p>
        </w:tc>
        <w:tc>
          <w:tcPr>
            <w:tcW w:w="123" w:type="dxa"/>
            <w:tcBorders/>
            <w:vAlign w:val="bottom"/>
          </w:tcPr>
          <w:p>
            <w:pPr>
              <w:pStyle w:val="TableContents"/>
              <w:bidi w:val="0"/>
              <w:spacing w:before="0" w:after="283"/>
              <w:jc w:val="left"/>
              <w:rPr/>
            </w:pPr>
            <w:r>
              <w:rPr/>
              <w:t>  </w:t>
            </w:r>
          </w:p>
        </w:tc>
        <w:tc>
          <w:tcPr>
            <w:tcW w:w="242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Signing Date Deliverable</w:t>
            </w:r>
          </w:p>
          <w:p>
            <w:pPr>
              <w:pStyle w:val="TableContents"/>
              <w:bidi w:val="0"/>
              <w:spacing w:before="0" w:after="0"/>
              <w:jc w:val="center"/>
              <w:rPr>
                <w:rFonts w:ascii="Times New Roman" w:hAnsi="Times New Roman"/>
                <w:sz w:val="16"/>
              </w:rPr>
            </w:pPr>
            <w:r>
              <w:rPr>
                <w:rFonts w:ascii="Times New Roman" w:hAnsi="Times New Roman"/>
                <w:sz w:val="16"/>
              </w:rPr>
              <w:t>or Effective Date</w:t>
            </w:r>
          </w:p>
          <w:p>
            <w:pPr>
              <w:pStyle w:val="TableContents"/>
              <w:bidi w:val="0"/>
              <w:spacing w:before="0" w:after="20"/>
              <w:jc w:val="center"/>
              <w:rPr>
                <w:rFonts w:ascii="Times New Roman" w:hAnsi="Times New Roman"/>
                <w:sz w:val="16"/>
              </w:rPr>
            </w:pPr>
            <w:r>
              <w:rPr>
                <w:rFonts w:ascii="Times New Roman" w:hAnsi="Times New Roman"/>
                <w:sz w:val="16"/>
              </w:rPr>
              <w:t>Deliverable</w:t>
            </w:r>
          </w:p>
        </w:tc>
      </w:tr>
      <w:tr>
        <w:trPr/>
        <w:tc>
          <w:tcPr>
            <w:tcW w:w="10205" w:type="dxa"/>
            <w:gridSpan w:val="7"/>
            <w:tcBorders/>
          </w:tcPr>
          <w:p>
            <w:pPr>
              <w:pStyle w:val="TableContents"/>
              <w:bidi w:val="0"/>
              <w:spacing w:before="0" w:after="283"/>
              <w:jc w:val="left"/>
              <w:rPr>
                <w:b/>
              </w:rPr>
            </w:pPr>
            <w:r>
              <w:rPr>
                <w:b/>
              </w:rPr>
              <w:t>A. PRIMARY TRANSACTION DOCUMENTS</w:t>
            </w:r>
          </w:p>
        </w:tc>
      </w:tr>
      <w:tr>
        <w:trPr>
          <w:trHeight w:val="120" w:hRule="atLeast"/>
        </w:trPr>
        <w:tc>
          <w:tcPr>
            <w:tcW w:w="3462" w:type="dxa"/>
            <w:tcBorders/>
            <w:vAlign w:val="center"/>
          </w:tcPr>
          <w:p>
            <w:pPr>
              <w:pStyle w:val="TableContents"/>
              <w:bidi w:val="0"/>
              <w:spacing w:before="0" w:after="283"/>
              <w:jc w:val="left"/>
              <w:rPr>
                <w:sz w:val="4"/>
                <w:szCs w:val="4"/>
              </w:rPr>
            </w:pPr>
            <w:r>
              <w:rPr>
                <w:sz w:val="4"/>
                <w:szCs w:val="4"/>
              </w:rPr>
            </w:r>
          </w:p>
        </w:tc>
        <w:tc>
          <w:tcPr>
            <w:tcW w:w="1903" w:type="dxa"/>
            <w:gridSpan w:val="2"/>
            <w:tcBorders/>
            <w:vAlign w:val="center"/>
          </w:tcPr>
          <w:p>
            <w:pPr>
              <w:pStyle w:val="TableContents"/>
              <w:bidi w:val="0"/>
              <w:spacing w:before="0" w:after="283"/>
              <w:jc w:val="left"/>
              <w:rPr>
                <w:sz w:val="4"/>
                <w:szCs w:val="4"/>
              </w:rPr>
            </w:pPr>
            <w:r>
              <w:rPr>
                <w:sz w:val="4"/>
                <w:szCs w:val="4"/>
              </w:rPr>
            </w:r>
          </w:p>
        </w:tc>
        <w:tc>
          <w:tcPr>
            <w:tcW w:w="2290" w:type="dxa"/>
            <w:gridSpan w:val="2"/>
            <w:tcBorders/>
            <w:vAlign w:val="center"/>
          </w:tcPr>
          <w:p>
            <w:pPr>
              <w:pStyle w:val="TableContents"/>
              <w:bidi w:val="0"/>
              <w:spacing w:before="0" w:after="283"/>
              <w:jc w:val="left"/>
              <w:rPr>
                <w:sz w:val="4"/>
                <w:szCs w:val="4"/>
              </w:rPr>
            </w:pPr>
            <w:r>
              <w:rPr>
                <w:sz w:val="4"/>
                <w:szCs w:val="4"/>
              </w:rPr>
            </w:r>
          </w:p>
        </w:tc>
        <w:tc>
          <w:tcPr>
            <w:tcW w:w="2550" w:type="dxa"/>
            <w:gridSpan w:val="2"/>
            <w:tcBorders/>
            <w:vAlign w:val="center"/>
          </w:tcPr>
          <w:p>
            <w:pPr>
              <w:pStyle w:val="TableContents"/>
              <w:bidi w:val="0"/>
              <w:spacing w:before="0" w:after="283"/>
              <w:jc w:val="left"/>
              <w:rPr>
                <w:sz w:val="4"/>
                <w:szCs w:val="4"/>
              </w:rPr>
            </w:pPr>
            <w:r>
              <w:rPr>
                <w:sz w:val="4"/>
                <w:szCs w:val="4"/>
              </w:rPr>
            </w:r>
          </w:p>
        </w:tc>
      </w:tr>
      <w:tr>
        <w:trPr/>
        <w:tc>
          <w:tcPr>
            <w:tcW w:w="3462" w:type="dxa"/>
            <w:tcBorders/>
          </w:tcPr>
          <w:p>
            <w:pPr>
              <w:pStyle w:val="TableContents"/>
              <w:bidi w:val="0"/>
              <w:spacing w:before="0" w:after="0"/>
              <w:jc w:val="left"/>
              <w:rPr>
                <w:rFonts w:ascii="Times New Roman" w:hAnsi="Times New Roman"/>
                <w:sz w:val="20"/>
              </w:rPr>
            </w:pPr>
            <w:r>
              <w:rPr>
                <w:rFonts w:ascii="Times New Roman" w:hAnsi="Times New Roman"/>
                <w:sz w:val="20"/>
              </w:rPr>
              <w:t>1.  Fourth Amendment to Receivables Financing Agreement (the “</w:t>
            </w:r>
            <w:r>
              <w:rPr>
                <w:rFonts w:ascii="Times New Roman" w:hAnsi="Times New Roman"/>
                <w:sz w:val="20"/>
                <w:u w:val="single"/>
              </w:rPr>
              <w:t>RFA</w:t>
            </w:r>
            <w:r>
              <w:rPr>
                <w:rFonts w:ascii="Times New Roman" w:hAnsi="Times New Roman"/>
                <w:sz w:val="20"/>
              </w:rPr>
              <w:t>”)</w:t>
            </w:r>
          </w:p>
        </w:tc>
        <w:tc>
          <w:tcPr>
            <w:tcW w:w="123" w:type="dxa"/>
            <w:tcBorders/>
            <w:vAlign w:val="bottom"/>
          </w:tcPr>
          <w:p>
            <w:pPr>
              <w:pStyle w:val="TableContents"/>
              <w:bidi w:val="0"/>
              <w:spacing w:before="0" w:after="283"/>
              <w:jc w:val="left"/>
              <w:rPr/>
            </w:pPr>
            <w:r>
              <w:rPr/>
              <w:t>  </w:t>
            </w:r>
          </w:p>
        </w:tc>
        <w:tc>
          <w:tcPr>
            <w:tcW w:w="1780" w:type="dxa"/>
            <w:tcBorders/>
          </w:tcPr>
          <w:p>
            <w:pPr>
              <w:pStyle w:val="TableContents"/>
              <w:bidi w:val="0"/>
              <w:spacing w:before="0" w:after="283"/>
              <w:jc w:val="left"/>
              <w:rPr/>
            </w:pPr>
            <w:r>
              <w:rPr/>
              <w:t>MB</w:t>
            </w:r>
          </w:p>
        </w:tc>
        <w:tc>
          <w:tcPr>
            <w:tcW w:w="123" w:type="dxa"/>
            <w:tcBorders/>
            <w:vAlign w:val="bottom"/>
          </w:tcPr>
          <w:p>
            <w:pPr>
              <w:pStyle w:val="TableContents"/>
              <w:bidi w:val="0"/>
              <w:spacing w:before="0" w:after="283"/>
              <w:jc w:val="left"/>
              <w:rPr/>
            </w:pPr>
            <w:r>
              <w:rPr/>
              <w:t>  </w:t>
            </w:r>
          </w:p>
        </w:tc>
        <w:tc>
          <w:tcPr>
            <w:tcW w:w="2167" w:type="dxa"/>
            <w:tcBorders/>
          </w:tcPr>
          <w:p>
            <w:pPr>
              <w:pStyle w:val="TableContents"/>
              <w:bidi w:val="0"/>
              <w:spacing w:before="0" w:after="0"/>
              <w:jc w:val="left"/>
              <w:rPr/>
            </w:pPr>
            <w:r>
              <w:rPr/>
              <w:t xml:space="preserve">☐ </w:t>
            </w:r>
            <w:r>
              <w:rPr>
                <w:rFonts w:ascii="Times New Roman" w:hAnsi="Times New Roman"/>
                <w:sz w:val="20"/>
              </w:rPr>
              <w:t>SPE</w:t>
            </w:r>
          </w:p>
          <w:p>
            <w:pPr>
              <w:pStyle w:val="TableContents"/>
              <w:bidi w:val="0"/>
              <w:spacing w:before="0" w:after="0"/>
              <w:jc w:val="left"/>
              <w:rPr/>
            </w:pPr>
            <w:r>
              <w:rPr/>
              <w:t xml:space="preserve">☐ </w:t>
            </w:r>
            <w:r>
              <w:rPr>
                <w:rFonts w:ascii="Times New Roman" w:hAnsi="Times New Roman"/>
                <w:sz w:val="20"/>
              </w:rPr>
              <w:t>Servicers</w:t>
            </w:r>
          </w:p>
          <w:p>
            <w:pPr>
              <w:pStyle w:val="TableContents"/>
              <w:bidi w:val="0"/>
              <w:spacing w:before="0" w:after="0"/>
              <w:jc w:val="left"/>
              <w:rPr/>
            </w:pPr>
            <w:r>
              <w:rPr/>
              <w:t xml:space="preserve">☐ </w:t>
            </w:r>
            <w:r>
              <w:rPr>
                <w:rFonts w:ascii="Times New Roman" w:hAnsi="Times New Roman"/>
                <w:sz w:val="20"/>
              </w:rPr>
              <w:t>Lenders</w:t>
            </w:r>
          </w:p>
          <w:p>
            <w:pPr>
              <w:pStyle w:val="TableContents"/>
              <w:bidi w:val="0"/>
              <w:spacing w:before="0" w:after="0"/>
              <w:jc w:val="left"/>
              <w:rPr/>
            </w:pPr>
            <w:r>
              <w:rPr/>
              <w:t>☐ </w:t>
            </w:r>
            <w:r>
              <w:rPr>
                <w:rFonts w:ascii="Times New Roman" w:hAnsi="Times New Roman"/>
                <w:sz w:val="20"/>
              </w:rPr>
              <w:t>Administrative Agent</w:t>
            </w:r>
          </w:p>
          <w:p>
            <w:pPr>
              <w:pStyle w:val="TableContents"/>
              <w:bidi w:val="0"/>
              <w:spacing w:before="0" w:after="20"/>
              <w:jc w:val="left"/>
              <w:rPr/>
            </w:pPr>
            <w:r>
              <w:rPr/>
              <w:t xml:space="preserve">☐ </w:t>
            </w:r>
            <w:r>
              <w:rPr>
                <w:rFonts w:ascii="Times New Roman" w:hAnsi="Times New Roman"/>
                <w:sz w:val="20"/>
              </w:rPr>
              <w:t>Structuring Agent</w:t>
            </w:r>
          </w:p>
        </w:tc>
        <w:tc>
          <w:tcPr>
            <w:tcW w:w="123" w:type="dxa"/>
            <w:tcBorders/>
            <w:vAlign w:val="bottom"/>
          </w:tcPr>
          <w:p>
            <w:pPr>
              <w:pStyle w:val="TableContents"/>
              <w:bidi w:val="0"/>
              <w:spacing w:before="0" w:after="283"/>
              <w:jc w:val="left"/>
              <w:rPr/>
            </w:pPr>
            <w:r>
              <w:rPr/>
              <w:t>  </w:t>
            </w:r>
          </w:p>
        </w:tc>
        <w:tc>
          <w:tcPr>
            <w:tcW w:w="2427" w:type="dxa"/>
            <w:tcBorders/>
          </w:tcPr>
          <w:p>
            <w:pPr>
              <w:pStyle w:val="TableContents"/>
              <w:bidi w:val="0"/>
              <w:spacing w:before="0" w:after="283"/>
              <w:jc w:val="left"/>
              <w:rPr/>
            </w:pPr>
            <w:r>
              <w:rPr/>
              <w:t>Signing Date Deliverable</w:t>
            </w:r>
          </w:p>
        </w:tc>
      </w:tr>
      <w:tr>
        <w:trPr>
          <w:trHeight w:val="120" w:hRule="atLeast"/>
        </w:trPr>
        <w:tc>
          <w:tcPr>
            <w:tcW w:w="3462" w:type="dxa"/>
            <w:tcBorders/>
            <w:vAlign w:val="center"/>
          </w:tcPr>
          <w:p>
            <w:pPr>
              <w:pStyle w:val="TableContents"/>
              <w:bidi w:val="0"/>
              <w:spacing w:before="0" w:after="283"/>
              <w:jc w:val="left"/>
              <w:rPr>
                <w:sz w:val="4"/>
                <w:szCs w:val="4"/>
              </w:rPr>
            </w:pPr>
            <w:r>
              <w:rPr>
                <w:sz w:val="4"/>
                <w:szCs w:val="4"/>
              </w:rPr>
            </w:r>
          </w:p>
        </w:tc>
        <w:tc>
          <w:tcPr>
            <w:tcW w:w="1903" w:type="dxa"/>
            <w:gridSpan w:val="2"/>
            <w:tcBorders/>
            <w:vAlign w:val="center"/>
          </w:tcPr>
          <w:p>
            <w:pPr>
              <w:pStyle w:val="TableContents"/>
              <w:bidi w:val="0"/>
              <w:spacing w:before="0" w:after="283"/>
              <w:jc w:val="left"/>
              <w:rPr>
                <w:sz w:val="4"/>
                <w:szCs w:val="4"/>
              </w:rPr>
            </w:pPr>
            <w:r>
              <w:rPr>
                <w:sz w:val="4"/>
                <w:szCs w:val="4"/>
              </w:rPr>
            </w:r>
          </w:p>
        </w:tc>
        <w:tc>
          <w:tcPr>
            <w:tcW w:w="2290" w:type="dxa"/>
            <w:gridSpan w:val="2"/>
            <w:tcBorders/>
            <w:vAlign w:val="center"/>
          </w:tcPr>
          <w:p>
            <w:pPr>
              <w:pStyle w:val="TableContents"/>
              <w:bidi w:val="0"/>
              <w:spacing w:before="0" w:after="283"/>
              <w:jc w:val="left"/>
              <w:rPr>
                <w:sz w:val="4"/>
                <w:szCs w:val="4"/>
              </w:rPr>
            </w:pPr>
            <w:r>
              <w:rPr>
                <w:sz w:val="4"/>
                <w:szCs w:val="4"/>
              </w:rPr>
            </w:r>
          </w:p>
        </w:tc>
        <w:tc>
          <w:tcPr>
            <w:tcW w:w="2550" w:type="dxa"/>
            <w:gridSpan w:val="2"/>
            <w:tcBorders/>
            <w:vAlign w:val="center"/>
          </w:tcPr>
          <w:p>
            <w:pPr>
              <w:pStyle w:val="TableContents"/>
              <w:bidi w:val="0"/>
              <w:spacing w:before="0" w:after="283"/>
              <w:jc w:val="left"/>
              <w:rPr>
                <w:sz w:val="4"/>
                <w:szCs w:val="4"/>
              </w:rPr>
            </w:pPr>
            <w:r>
              <w:rPr>
                <w:sz w:val="4"/>
                <w:szCs w:val="4"/>
              </w:rPr>
            </w:r>
          </w:p>
        </w:tc>
      </w:tr>
      <w:tr>
        <w:trPr/>
        <w:tc>
          <w:tcPr>
            <w:tcW w:w="3462" w:type="dxa"/>
            <w:tcBorders/>
          </w:tcPr>
          <w:p>
            <w:pPr>
              <w:pStyle w:val="TableContents"/>
              <w:bidi w:val="0"/>
              <w:spacing w:before="0" w:after="0"/>
              <w:jc w:val="left"/>
              <w:rPr>
                <w:rFonts w:ascii="Times New Roman" w:hAnsi="Times New Roman"/>
                <w:sz w:val="20"/>
              </w:rPr>
            </w:pPr>
            <w:r>
              <w:rPr>
                <w:rFonts w:ascii="Times New Roman" w:hAnsi="Times New Roman"/>
                <w:sz w:val="20"/>
              </w:rPr>
              <w:t>Exhibit A  Conformed Copy of RFA</w:t>
            </w:r>
          </w:p>
          <w:p>
            <w:pPr>
              <w:pStyle w:val="TableContents"/>
              <w:bidi w:val="0"/>
              <w:spacing w:before="0" w:after="20"/>
              <w:jc w:val="left"/>
              <w:rPr>
                <w:rFonts w:ascii="Times New Roman" w:hAnsi="Times New Roman"/>
                <w:sz w:val="20"/>
              </w:rPr>
            </w:pPr>
            <w:r>
              <w:rPr>
                <w:rFonts w:ascii="Times New Roman" w:hAnsi="Times New Roman"/>
                <w:sz w:val="20"/>
              </w:rPr>
              <w:t>Exhibit B  Closing Memorandum</w:t>
            </w:r>
          </w:p>
        </w:tc>
        <w:tc>
          <w:tcPr>
            <w:tcW w:w="123" w:type="dxa"/>
            <w:tcBorders/>
            <w:vAlign w:val="bottom"/>
          </w:tcPr>
          <w:p>
            <w:pPr>
              <w:pStyle w:val="TableContents"/>
              <w:bidi w:val="0"/>
              <w:spacing w:before="0" w:after="283"/>
              <w:jc w:val="left"/>
              <w:rPr/>
            </w:pPr>
            <w:r>
              <w:rPr/>
              <w:t>  </w:t>
            </w:r>
          </w:p>
        </w:tc>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MB</w:t>
            </w:r>
          </w:p>
          <w:p>
            <w:pPr>
              <w:pStyle w:val="TableContents"/>
              <w:bidi w:val="0"/>
              <w:spacing w:before="0" w:after="20"/>
              <w:jc w:val="left"/>
              <w:rPr>
                <w:rFonts w:ascii="Times New Roman" w:hAnsi="Times New Roman"/>
                <w:sz w:val="20"/>
              </w:rPr>
            </w:pPr>
            <w:r>
              <w:rPr>
                <w:rFonts w:ascii="Times New Roman" w:hAnsi="Times New Roman"/>
                <w:sz w:val="20"/>
              </w:rPr>
              <w:t>MB</w:t>
            </w:r>
          </w:p>
        </w:tc>
        <w:tc>
          <w:tcPr>
            <w:tcW w:w="123" w:type="dxa"/>
            <w:tcBorders/>
            <w:vAlign w:val="bottom"/>
          </w:tcPr>
          <w:p>
            <w:pPr>
              <w:pStyle w:val="TableContents"/>
              <w:bidi w:val="0"/>
              <w:spacing w:before="0" w:after="283"/>
              <w:jc w:val="left"/>
              <w:rPr/>
            </w:pPr>
            <w:r>
              <w:rPr/>
              <w:t>  </w:t>
            </w:r>
          </w:p>
        </w:tc>
        <w:tc>
          <w:tcPr>
            <w:tcW w:w="216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427" w:type="dxa"/>
            <w:tcBorders/>
          </w:tcPr>
          <w:p>
            <w:pPr>
              <w:pStyle w:val="TableContents"/>
              <w:bidi w:val="0"/>
              <w:spacing w:before="0" w:after="283"/>
              <w:jc w:val="left"/>
              <w:rPr>
                <w:sz w:val="4"/>
                <w:szCs w:val="4"/>
              </w:rPr>
            </w:pPr>
            <w:r>
              <w:rPr>
                <w:sz w:val="4"/>
                <w:szCs w:val="4"/>
              </w:rPr>
            </w:r>
          </w:p>
        </w:tc>
      </w:tr>
      <w:tr>
        <w:trPr>
          <w:trHeight w:val="120" w:hRule="atLeast"/>
        </w:trPr>
        <w:tc>
          <w:tcPr>
            <w:tcW w:w="3462" w:type="dxa"/>
            <w:tcBorders/>
            <w:vAlign w:val="center"/>
          </w:tcPr>
          <w:p>
            <w:pPr>
              <w:pStyle w:val="TableContents"/>
              <w:bidi w:val="0"/>
              <w:spacing w:before="0" w:after="283"/>
              <w:jc w:val="left"/>
              <w:rPr>
                <w:sz w:val="4"/>
                <w:szCs w:val="4"/>
              </w:rPr>
            </w:pPr>
            <w:r>
              <w:rPr>
                <w:sz w:val="4"/>
                <w:szCs w:val="4"/>
              </w:rPr>
            </w:r>
          </w:p>
        </w:tc>
        <w:tc>
          <w:tcPr>
            <w:tcW w:w="1903" w:type="dxa"/>
            <w:gridSpan w:val="2"/>
            <w:tcBorders/>
            <w:vAlign w:val="center"/>
          </w:tcPr>
          <w:p>
            <w:pPr>
              <w:pStyle w:val="TableContents"/>
              <w:bidi w:val="0"/>
              <w:spacing w:before="0" w:after="283"/>
              <w:jc w:val="left"/>
              <w:rPr>
                <w:sz w:val="4"/>
                <w:szCs w:val="4"/>
              </w:rPr>
            </w:pPr>
            <w:r>
              <w:rPr>
                <w:sz w:val="4"/>
                <w:szCs w:val="4"/>
              </w:rPr>
            </w:r>
          </w:p>
        </w:tc>
        <w:tc>
          <w:tcPr>
            <w:tcW w:w="2290" w:type="dxa"/>
            <w:gridSpan w:val="2"/>
            <w:tcBorders/>
            <w:vAlign w:val="center"/>
          </w:tcPr>
          <w:p>
            <w:pPr>
              <w:pStyle w:val="TableContents"/>
              <w:bidi w:val="0"/>
              <w:spacing w:before="0" w:after="283"/>
              <w:jc w:val="left"/>
              <w:rPr>
                <w:sz w:val="4"/>
                <w:szCs w:val="4"/>
              </w:rPr>
            </w:pPr>
            <w:r>
              <w:rPr>
                <w:sz w:val="4"/>
                <w:szCs w:val="4"/>
              </w:rPr>
            </w:r>
          </w:p>
        </w:tc>
        <w:tc>
          <w:tcPr>
            <w:tcW w:w="2550" w:type="dxa"/>
            <w:gridSpan w:val="2"/>
            <w:tcBorders/>
            <w:vAlign w:val="center"/>
          </w:tcPr>
          <w:p>
            <w:pPr>
              <w:pStyle w:val="TableContents"/>
              <w:bidi w:val="0"/>
              <w:spacing w:before="0" w:after="283"/>
              <w:jc w:val="left"/>
              <w:rPr>
                <w:sz w:val="4"/>
                <w:szCs w:val="4"/>
              </w:rPr>
            </w:pPr>
            <w:r>
              <w:rPr>
                <w:sz w:val="4"/>
                <w:szCs w:val="4"/>
              </w:rPr>
            </w:r>
          </w:p>
        </w:tc>
      </w:tr>
      <w:tr>
        <w:trPr/>
        <w:tc>
          <w:tcPr>
            <w:tcW w:w="3462" w:type="dxa"/>
            <w:tcBorders/>
          </w:tcPr>
          <w:p>
            <w:pPr>
              <w:pStyle w:val="TableContents"/>
              <w:bidi w:val="0"/>
              <w:spacing w:before="0" w:after="0"/>
              <w:jc w:val="left"/>
              <w:rPr>
                <w:rFonts w:ascii="Times New Roman" w:hAnsi="Times New Roman"/>
                <w:sz w:val="20"/>
              </w:rPr>
            </w:pPr>
            <w:r>
              <w:rPr>
                <w:rFonts w:ascii="Times New Roman" w:hAnsi="Times New Roman"/>
                <w:sz w:val="20"/>
              </w:rPr>
              <w:t>2.  SG Sale Agreement (the “</w:t>
            </w:r>
            <w:r>
              <w:rPr>
                <w:rFonts w:ascii="Times New Roman" w:hAnsi="Times New Roman"/>
                <w:sz w:val="20"/>
                <w:u w:val="single"/>
              </w:rPr>
              <w:t>SG SA</w:t>
            </w:r>
            <w:r>
              <w:rPr>
                <w:rFonts w:ascii="Times New Roman" w:hAnsi="Times New Roman"/>
                <w:sz w:val="20"/>
              </w:rPr>
              <w:t>”)</w:t>
            </w:r>
          </w:p>
        </w:tc>
        <w:tc>
          <w:tcPr>
            <w:tcW w:w="123" w:type="dxa"/>
            <w:tcBorders/>
            <w:vAlign w:val="bottom"/>
          </w:tcPr>
          <w:p>
            <w:pPr>
              <w:pStyle w:val="TableContents"/>
              <w:bidi w:val="0"/>
              <w:spacing w:before="0" w:after="283"/>
              <w:jc w:val="left"/>
              <w:rPr/>
            </w:pPr>
            <w:r>
              <w:rPr/>
              <w:t>  </w:t>
            </w:r>
          </w:p>
        </w:tc>
        <w:tc>
          <w:tcPr>
            <w:tcW w:w="1780" w:type="dxa"/>
            <w:tcBorders/>
          </w:tcPr>
          <w:p>
            <w:pPr>
              <w:pStyle w:val="TableContents"/>
              <w:bidi w:val="0"/>
              <w:spacing w:before="0" w:after="283"/>
              <w:jc w:val="left"/>
              <w:rPr/>
            </w:pPr>
            <w:r>
              <w:rPr/>
              <w:t>MB (SG)</w:t>
            </w:r>
          </w:p>
        </w:tc>
        <w:tc>
          <w:tcPr>
            <w:tcW w:w="123" w:type="dxa"/>
            <w:tcBorders/>
            <w:vAlign w:val="bottom"/>
          </w:tcPr>
          <w:p>
            <w:pPr>
              <w:pStyle w:val="TableContents"/>
              <w:bidi w:val="0"/>
              <w:spacing w:before="0" w:after="283"/>
              <w:jc w:val="left"/>
              <w:rPr/>
            </w:pPr>
            <w:r>
              <w:rPr/>
              <w:t>  </w:t>
            </w:r>
          </w:p>
        </w:tc>
        <w:tc>
          <w:tcPr>
            <w:tcW w:w="2167" w:type="dxa"/>
            <w:tcBorders/>
          </w:tcPr>
          <w:p>
            <w:pPr>
              <w:pStyle w:val="TableContents"/>
              <w:bidi w:val="0"/>
              <w:spacing w:before="0" w:after="0"/>
              <w:jc w:val="left"/>
              <w:rPr/>
            </w:pPr>
            <w:r>
              <w:rPr/>
              <w:t xml:space="preserve">☐ </w:t>
            </w:r>
            <w:r>
              <w:rPr>
                <w:rFonts w:ascii="Times New Roman" w:hAnsi="Times New Roman"/>
                <w:sz w:val="20"/>
              </w:rPr>
              <w:t>SG Originator</w:t>
            </w:r>
          </w:p>
          <w:p>
            <w:pPr>
              <w:pStyle w:val="TableContents"/>
              <w:bidi w:val="0"/>
              <w:spacing w:before="0" w:after="0"/>
              <w:jc w:val="left"/>
              <w:rPr/>
            </w:pPr>
            <w:r>
              <w:rPr/>
              <w:t xml:space="preserve">☐ </w:t>
            </w:r>
            <w:r>
              <w:rPr>
                <w:rFonts w:ascii="Times New Roman" w:hAnsi="Times New Roman"/>
                <w:sz w:val="20"/>
              </w:rPr>
              <w:t>SG Servicer</w:t>
            </w:r>
          </w:p>
          <w:p>
            <w:pPr>
              <w:pStyle w:val="TableContents"/>
              <w:bidi w:val="0"/>
              <w:spacing w:before="0" w:after="20"/>
              <w:jc w:val="left"/>
              <w:rPr/>
            </w:pPr>
            <w:r>
              <w:rPr/>
              <w:t xml:space="preserve">☐ </w:t>
            </w:r>
            <w:r>
              <w:rPr>
                <w:rFonts w:ascii="Times New Roman" w:hAnsi="Times New Roman"/>
                <w:sz w:val="20"/>
              </w:rPr>
              <w:t>SPE</w:t>
            </w:r>
          </w:p>
        </w:tc>
        <w:tc>
          <w:tcPr>
            <w:tcW w:w="123" w:type="dxa"/>
            <w:tcBorders/>
            <w:vAlign w:val="bottom"/>
          </w:tcPr>
          <w:p>
            <w:pPr>
              <w:pStyle w:val="TableContents"/>
              <w:bidi w:val="0"/>
              <w:spacing w:before="0" w:after="283"/>
              <w:jc w:val="left"/>
              <w:rPr/>
            </w:pPr>
            <w:r>
              <w:rPr/>
              <w:t>  </w:t>
            </w:r>
          </w:p>
        </w:tc>
        <w:tc>
          <w:tcPr>
            <w:tcW w:w="2427" w:type="dxa"/>
            <w:tcBorders/>
          </w:tcPr>
          <w:p>
            <w:pPr>
              <w:pStyle w:val="TableContents"/>
              <w:bidi w:val="0"/>
              <w:spacing w:before="0" w:after="283"/>
              <w:jc w:val="left"/>
              <w:rPr/>
            </w:pPr>
            <w:r>
              <w:rPr/>
              <w:t>Effective Date Deliverable</w:t>
            </w:r>
          </w:p>
        </w:tc>
      </w:tr>
      <w:tr>
        <w:trPr>
          <w:trHeight w:val="120" w:hRule="atLeast"/>
        </w:trPr>
        <w:tc>
          <w:tcPr>
            <w:tcW w:w="3462" w:type="dxa"/>
            <w:tcBorders/>
            <w:vAlign w:val="center"/>
          </w:tcPr>
          <w:p>
            <w:pPr>
              <w:pStyle w:val="TableContents"/>
              <w:bidi w:val="0"/>
              <w:spacing w:before="0" w:after="283"/>
              <w:jc w:val="left"/>
              <w:rPr>
                <w:sz w:val="4"/>
                <w:szCs w:val="4"/>
              </w:rPr>
            </w:pPr>
            <w:r>
              <w:rPr>
                <w:sz w:val="4"/>
                <w:szCs w:val="4"/>
              </w:rPr>
            </w:r>
          </w:p>
        </w:tc>
        <w:tc>
          <w:tcPr>
            <w:tcW w:w="1903" w:type="dxa"/>
            <w:gridSpan w:val="2"/>
            <w:tcBorders/>
            <w:vAlign w:val="center"/>
          </w:tcPr>
          <w:p>
            <w:pPr>
              <w:pStyle w:val="TableContents"/>
              <w:bidi w:val="0"/>
              <w:spacing w:before="0" w:after="283"/>
              <w:jc w:val="left"/>
              <w:rPr>
                <w:sz w:val="4"/>
                <w:szCs w:val="4"/>
              </w:rPr>
            </w:pPr>
            <w:r>
              <w:rPr>
                <w:sz w:val="4"/>
                <w:szCs w:val="4"/>
              </w:rPr>
            </w:r>
          </w:p>
        </w:tc>
        <w:tc>
          <w:tcPr>
            <w:tcW w:w="2290" w:type="dxa"/>
            <w:gridSpan w:val="2"/>
            <w:tcBorders/>
            <w:vAlign w:val="center"/>
          </w:tcPr>
          <w:p>
            <w:pPr>
              <w:pStyle w:val="TableContents"/>
              <w:bidi w:val="0"/>
              <w:spacing w:before="0" w:after="283"/>
              <w:jc w:val="left"/>
              <w:rPr>
                <w:sz w:val="4"/>
                <w:szCs w:val="4"/>
              </w:rPr>
            </w:pPr>
            <w:r>
              <w:rPr>
                <w:sz w:val="4"/>
                <w:szCs w:val="4"/>
              </w:rPr>
            </w:r>
          </w:p>
        </w:tc>
        <w:tc>
          <w:tcPr>
            <w:tcW w:w="2550" w:type="dxa"/>
            <w:gridSpan w:val="2"/>
            <w:tcBorders/>
            <w:vAlign w:val="center"/>
          </w:tcPr>
          <w:p>
            <w:pPr>
              <w:pStyle w:val="TableContents"/>
              <w:bidi w:val="0"/>
              <w:spacing w:before="0" w:after="283"/>
              <w:jc w:val="left"/>
              <w:rPr>
                <w:sz w:val="4"/>
                <w:szCs w:val="4"/>
              </w:rPr>
            </w:pPr>
            <w:r>
              <w:rPr>
                <w:sz w:val="4"/>
                <w:szCs w:val="4"/>
              </w:rPr>
            </w:r>
          </w:p>
        </w:tc>
      </w:tr>
      <w:tr>
        <w:trPr/>
        <w:tc>
          <w:tcPr>
            <w:tcW w:w="3462" w:type="dxa"/>
            <w:tcBorders/>
          </w:tcPr>
          <w:p>
            <w:pPr>
              <w:pStyle w:val="TableContents"/>
              <w:bidi w:val="0"/>
              <w:spacing w:before="0" w:after="0"/>
              <w:jc w:val="left"/>
              <w:rPr>
                <w:rFonts w:ascii="Times New Roman" w:hAnsi="Times New Roman"/>
                <w:sz w:val="20"/>
              </w:rPr>
            </w:pPr>
            <w:r>
              <w:rPr>
                <w:rFonts w:ascii="Times New Roman" w:hAnsi="Times New Roman"/>
                <w:sz w:val="20"/>
              </w:rPr>
              <w:t>Schedule I  List and Location of Each Originator</w:t>
            </w:r>
          </w:p>
          <w:p>
            <w:pPr>
              <w:pStyle w:val="TableContents"/>
              <w:bidi w:val="0"/>
              <w:spacing w:before="0" w:after="0"/>
              <w:jc w:val="left"/>
              <w:rPr>
                <w:rFonts w:ascii="Times New Roman" w:hAnsi="Times New Roman"/>
                <w:sz w:val="20"/>
              </w:rPr>
            </w:pPr>
            <w:r>
              <w:rPr>
                <w:rFonts w:ascii="Times New Roman" w:hAnsi="Times New Roman"/>
                <w:sz w:val="20"/>
              </w:rPr>
              <w:t>Schedule II  Location of Books and Records of the Originators</w:t>
            </w:r>
          </w:p>
          <w:p>
            <w:pPr>
              <w:pStyle w:val="TableContents"/>
              <w:bidi w:val="0"/>
              <w:spacing w:before="0" w:after="0"/>
              <w:jc w:val="left"/>
              <w:rPr>
                <w:rFonts w:ascii="Times New Roman" w:hAnsi="Times New Roman"/>
                <w:sz w:val="20"/>
              </w:rPr>
            </w:pPr>
            <w:r>
              <w:rPr>
                <w:rFonts w:ascii="Times New Roman" w:hAnsi="Times New Roman"/>
                <w:sz w:val="20"/>
              </w:rPr>
              <w:t>Schedule III Trade Names</w:t>
            </w:r>
          </w:p>
          <w:p>
            <w:pPr>
              <w:pStyle w:val="TableContents"/>
              <w:bidi w:val="0"/>
              <w:spacing w:before="0" w:after="0"/>
              <w:jc w:val="left"/>
              <w:rPr>
                <w:rFonts w:ascii="Times New Roman" w:hAnsi="Times New Roman"/>
                <w:sz w:val="20"/>
              </w:rPr>
            </w:pPr>
            <w:r>
              <w:rPr>
                <w:rFonts w:ascii="Times New Roman" w:hAnsi="Times New Roman"/>
                <w:sz w:val="20"/>
              </w:rPr>
              <w:t>Schedule IV Notice Addresses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Exhibit A  Form of Joinder Agreement</w:t>
            </w:r>
          </w:p>
          <w:p>
            <w:pPr>
              <w:pStyle w:val="TableContents"/>
              <w:bidi w:val="0"/>
              <w:spacing w:before="0" w:after="20"/>
              <w:jc w:val="left"/>
              <w:rPr>
                <w:rFonts w:ascii="Times New Roman" w:hAnsi="Times New Roman"/>
                <w:sz w:val="20"/>
              </w:rPr>
            </w:pPr>
            <w:r>
              <w:rPr>
                <w:rFonts w:ascii="Times New Roman" w:hAnsi="Times New Roman"/>
                <w:sz w:val="20"/>
              </w:rPr>
              <w:t>Exhibit B  Form of Intercompany Loan Agreement</w:t>
            </w:r>
          </w:p>
        </w:tc>
        <w:tc>
          <w:tcPr>
            <w:tcW w:w="123" w:type="dxa"/>
            <w:tcBorders/>
            <w:vAlign w:val="bottom"/>
          </w:tcPr>
          <w:p>
            <w:pPr>
              <w:pStyle w:val="TableContents"/>
              <w:bidi w:val="0"/>
              <w:spacing w:before="0" w:after="283"/>
              <w:jc w:val="left"/>
              <w:rPr/>
            </w:pPr>
            <w:r>
              <w:rPr/>
              <w:t>  </w:t>
            </w:r>
          </w:p>
        </w:tc>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Sabre</w:t>
            </w:r>
          </w:p>
          <w:p>
            <w:pPr>
              <w:pStyle w:val="TableContents"/>
              <w:bidi w:val="0"/>
              <w:spacing w:before="0" w:after="0"/>
              <w:jc w:val="left"/>
              <w:rPr>
                <w:rFonts w:ascii="Times New Roman" w:hAnsi="Times New Roman"/>
                <w:sz w:val="20"/>
              </w:rPr>
            </w:pPr>
            <w:r>
              <w:rPr>
                <w:rFonts w:ascii="Times New Roman" w:hAnsi="Times New Roman"/>
                <w:sz w:val="20"/>
              </w:rPr>
              <w:t>Sabre</w:t>
            </w:r>
          </w:p>
          <w:p>
            <w:pPr>
              <w:pStyle w:val="TableContents"/>
              <w:bidi w:val="0"/>
              <w:spacing w:before="0" w:after="0"/>
              <w:jc w:val="left"/>
              <w:rPr>
                <w:rFonts w:ascii="Times New Roman" w:hAnsi="Times New Roman"/>
                <w:sz w:val="20"/>
              </w:rPr>
            </w:pPr>
            <w:r>
              <w:rPr>
                <w:rFonts w:ascii="Times New Roman" w:hAnsi="Times New Roman"/>
                <w:sz w:val="20"/>
              </w:rPr>
              <w:t>Sabre</w:t>
            </w:r>
          </w:p>
          <w:p>
            <w:pPr>
              <w:pStyle w:val="TableContents"/>
              <w:bidi w:val="0"/>
              <w:spacing w:before="0" w:after="0"/>
              <w:jc w:val="left"/>
              <w:rPr>
                <w:rFonts w:ascii="Times New Roman" w:hAnsi="Times New Roman"/>
                <w:sz w:val="20"/>
              </w:rPr>
            </w:pPr>
            <w:r>
              <w:rPr>
                <w:rFonts w:ascii="Times New Roman" w:hAnsi="Times New Roman"/>
                <w:sz w:val="20"/>
              </w:rPr>
              <w:t>Sabre</w:t>
            </w:r>
          </w:p>
          <w:p>
            <w:pPr>
              <w:pStyle w:val="TableContents"/>
              <w:bidi w:val="0"/>
              <w:spacing w:before="0" w:after="0"/>
              <w:jc w:val="left"/>
              <w:rPr>
                <w:rFonts w:ascii="Times New Roman" w:hAnsi="Times New Roman"/>
                <w:sz w:val="20"/>
              </w:rPr>
            </w:pPr>
            <w:r>
              <w:rPr>
                <w:rFonts w:ascii="Times New Roman" w:hAnsi="Times New Roman"/>
                <w:sz w:val="20"/>
              </w:rPr>
              <w:t>MB (SG)</w:t>
            </w:r>
          </w:p>
          <w:p>
            <w:pPr>
              <w:pStyle w:val="TableContents"/>
              <w:bidi w:val="0"/>
              <w:spacing w:before="0" w:after="20"/>
              <w:jc w:val="left"/>
              <w:rPr>
                <w:rFonts w:ascii="Times New Roman" w:hAnsi="Times New Roman"/>
                <w:sz w:val="20"/>
              </w:rPr>
            </w:pPr>
            <w:r>
              <w:rPr>
                <w:rFonts w:ascii="Times New Roman" w:hAnsi="Times New Roman"/>
                <w:sz w:val="20"/>
              </w:rPr>
              <w:t>MB (SG)</w:t>
            </w:r>
          </w:p>
        </w:tc>
        <w:tc>
          <w:tcPr>
            <w:tcW w:w="123" w:type="dxa"/>
            <w:tcBorders/>
            <w:vAlign w:val="bottom"/>
          </w:tcPr>
          <w:p>
            <w:pPr>
              <w:pStyle w:val="TableContents"/>
              <w:bidi w:val="0"/>
              <w:spacing w:before="0" w:after="283"/>
              <w:jc w:val="left"/>
              <w:rPr/>
            </w:pPr>
            <w:r>
              <w:rPr/>
              <w:t>  </w:t>
            </w:r>
          </w:p>
        </w:tc>
        <w:tc>
          <w:tcPr>
            <w:tcW w:w="216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427" w:type="dxa"/>
            <w:tcBorders/>
          </w:tcPr>
          <w:p>
            <w:pPr>
              <w:pStyle w:val="TableContents"/>
              <w:bidi w:val="0"/>
              <w:spacing w:before="0" w:after="283"/>
              <w:jc w:val="left"/>
              <w:rPr>
                <w:sz w:val="4"/>
                <w:szCs w:val="4"/>
              </w:rPr>
            </w:pPr>
            <w:r>
              <w:rPr>
                <w:sz w:val="4"/>
                <w:szCs w:val="4"/>
              </w:rPr>
            </w:r>
          </w:p>
        </w:tc>
      </w:tr>
      <w:tr>
        <w:trPr>
          <w:trHeight w:val="120" w:hRule="atLeast"/>
        </w:trPr>
        <w:tc>
          <w:tcPr>
            <w:tcW w:w="3462" w:type="dxa"/>
            <w:tcBorders/>
            <w:vAlign w:val="center"/>
          </w:tcPr>
          <w:p>
            <w:pPr>
              <w:pStyle w:val="TableContents"/>
              <w:bidi w:val="0"/>
              <w:spacing w:before="0" w:after="283"/>
              <w:jc w:val="left"/>
              <w:rPr>
                <w:sz w:val="4"/>
                <w:szCs w:val="4"/>
              </w:rPr>
            </w:pPr>
            <w:r>
              <w:rPr>
                <w:sz w:val="4"/>
                <w:szCs w:val="4"/>
              </w:rPr>
            </w:r>
          </w:p>
        </w:tc>
        <w:tc>
          <w:tcPr>
            <w:tcW w:w="1903" w:type="dxa"/>
            <w:gridSpan w:val="2"/>
            <w:tcBorders/>
            <w:vAlign w:val="center"/>
          </w:tcPr>
          <w:p>
            <w:pPr>
              <w:pStyle w:val="TableContents"/>
              <w:bidi w:val="0"/>
              <w:spacing w:before="0" w:after="283"/>
              <w:jc w:val="left"/>
              <w:rPr>
                <w:sz w:val="4"/>
                <w:szCs w:val="4"/>
              </w:rPr>
            </w:pPr>
            <w:r>
              <w:rPr>
                <w:sz w:val="4"/>
                <w:szCs w:val="4"/>
              </w:rPr>
            </w:r>
          </w:p>
        </w:tc>
        <w:tc>
          <w:tcPr>
            <w:tcW w:w="2290" w:type="dxa"/>
            <w:gridSpan w:val="2"/>
            <w:tcBorders/>
            <w:vAlign w:val="center"/>
          </w:tcPr>
          <w:p>
            <w:pPr>
              <w:pStyle w:val="TableContents"/>
              <w:bidi w:val="0"/>
              <w:spacing w:before="0" w:after="283"/>
              <w:jc w:val="left"/>
              <w:rPr>
                <w:sz w:val="4"/>
                <w:szCs w:val="4"/>
              </w:rPr>
            </w:pPr>
            <w:r>
              <w:rPr>
                <w:sz w:val="4"/>
                <w:szCs w:val="4"/>
              </w:rPr>
            </w:r>
          </w:p>
        </w:tc>
        <w:tc>
          <w:tcPr>
            <w:tcW w:w="2550" w:type="dxa"/>
            <w:gridSpan w:val="2"/>
            <w:tcBorders/>
            <w:vAlign w:val="center"/>
          </w:tcPr>
          <w:p>
            <w:pPr>
              <w:pStyle w:val="TableContents"/>
              <w:bidi w:val="0"/>
              <w:spacing w:before="0" w:after="283"/>
              <w:jc w:val="left"/>
              <w:rPr>
                <w:sz w:val="4"/>
                <w:szCs w:val="4"/>
              </w:rPr>
            </w:pPr>
            <w:r>
              <w:rPr>
                <w:sz w:val="4"/>
                <w:szCs w:val="4"/>
              </w:rPr>
            </w:r>
          </w:p>
        </w:tc>
      </w:tr>
      <w:tr>
        <w:trPr/>
        <w:tc>
          <w:tcPr>
            <w:tcW w:w="3462" w:type="dxa"/>
            <w:tcBorders/>
          </w:tcPr>
          <w:p>
            <w:pPr>
              <w:pStyle w:val="TableContents"/>
              <w:bidi w:val="0"/>
              <w:spacing w:before="0" w:after="0"/>
              <w:jc w:val="left"/>
              <w:rPr>
                <w:rFonts w:ascii="Times New Roman" w:hAnsi="Times New Roman"/>
                <w:sz w:val="20"/>
              </w:rPr>
            </w:pPr>
            <w:r>
              <w:rPr>
                <w:rFonts w:ascii="Times New Roman" w:hAnsi="Times New Roman"/>
                <w:sz w:val="20"/>
              </w:rPr>
              <w:t>5.  Intercompany Loan Agreement (SG SA)</w:t>
            </w:r>
          </w:p>
        </w:tc>
        <w:tc>
          <w:tcPr>
            <w:tcW w:w="123" w:type="dxa"/>
            <w:tcBorders/>
            <w:vAlign w:val="bottom"/>
          </w:tcPr>
          <w:p>
            <w:pPr>
              <w:pStyle w:val="TableContents"/>
              <w:bidi w:val="0"/>
              <w:spacing w:before="0" w:after="283"/>
              <w:jc w:val="left"/>
              <w:rPr/>
            </w:pPr>
            <w:r>
              <w:rPr/>
              <w:t>  </w:t>
            </w:r>
          </w:p>
        </w:tc>
        <w:tc>
          <w:tcPr>
            <w:tcW w:w="1780" w:type="dxa"/>
            <w:tcBorders/>
          </w:tcPr>
          <w:p>
            <w:pPr>
              <w:pStyle w:val="TableContents"/>
              <w:bidi w:val="0"/>
              <w:spacing w:before="0" w:after="283"/>
              <w:jc w:val="left"/>
              <w:rPr/>
            </w:pPr>
            <w:r>
              <w:rPr/>
              <w:t>Sabre SG Counsel</w:t>
            </w:r>
          </w:p>
        </w:tc>
        <w:tc>
          <w:tcPr>
            <w:tcW w:w="123" w:type="dxa"/>
            <w:tcBorders/>
            <w:vAlign w:val="bottom"/>
          </w:tcPr>
          <w:p>
            <w:pPr>
              <w:pStyle w:val="TableContents"/>
              <w:bidi w:val="0"/>
              <w:spacing w:before="0" w:after="283"/>
              <w:jc w:val="left"/>
              <w:rPr/>
            </w:pPr>
            <w:r>
              <w:rPr/>
              <w:t>  </w:t>
            </w:r>
          </w:p>
        </w:tc>
        <w:tc>
          <w:tcPr>
            <w:tcW w:w="2167" w:type="dxa"/>
            <w:tcBorders/>
          </w:tcPr>
          <w:p>
            <w:pPr>
              <w:pStyle w:val="TableContents"/>
              <w:bidi w:val="0"/>
              <w:spacing w:before="0" w:after="0"/>
              <w:jc w:val="left"/>
              <w:rPr/>
            </w:pPr>
            <w:r>
              <w:rPr/>
              <w:t xml:space="preserve">☐ </w:t>
            </w:r>
            <w:r>
              <w:rPr>
                <w:rFonts w:ascii="Times New Roman" w:hAnsi="Times New Roman"/>
                <w:sz w:val="20"/>
              </w:rPr>
              <w:t>SG Originator</w:t>
            </w:r>
          </w:p>
          <w:p>
            <w:pPr>
              <w:pStyle w:val="TableContents"/>
              <w:bidi w:val="0"/>
              <w:spacing w:before="0" w:after="20"/>
              <w:jc w:val="left"/>
              <w:rPr/>
            </w:pPr>
            <w:r>
              <w:rPr/>
              <w:t xml:space="preserve">☐ </w:t>
            </w:r>
            <w:r>
              <w:rPr>
                <w:rFonts w:ascii="Times New Roman" w:hAnsi="Times New Roman"/>
                <w:sz w:val="20"/>
              </w:rPr>
              <w:t>SPE</w:t>
            </w:r>
          </w:p>
        </w:tc>
        <w:tc>
          <w:tcPr>
            <w:tcW w:w="123" w:type="dxa"/>
            <w:tcBorders/>
            <w:vAlign w:val="bottom"/>
          </w:tcPr>
          <w:p>
            <w:pPr>
              <w:pStyle w:val="TableContents"/>
              <w:bidi w:val="0"/>
              <w:spacing w:before="0" w:after="283"/>
              <w:jc w:val="left"/>
              <w:rPr/>
            </w:pPr>
            <w:r>
              <w:rPr/>
              <w:t>  </w:t>
            </w:r>
          </w:p>
        </w:tc>
        <w:tc>
          <w:tcPr>
            <w:tcW w:w="2427" w:type="dxa"/>
            <w:tcBorders/>
          </w:tcPr>
          <w:p>
            <w:pPr>
              <w:pStyle w:val="TableContents"/>
              <w:bidi w:val="0"/>
              <w:spacing w:before="0" w:after="283"/>
              <w:jc w:val="left"/>
              <w:rPr/>
            </w:pPr>
            <w:r>
              <w:rPr/>
              <w:t>Effective Date Deliverable</w:t>
            </w:r>
          </w:p>
        </w:tc>
      </w:tr>
      <w:tr>
        <w:trPr>
          <w:trHeight w:val="120" w:hRule="atLeast"/>
        </w:trPr>
        <w:tc>
          <w:tcPr>
            <w:tcW w:w="3462" w:type="dxa"/>
            <w:tcBorders/>
            <w:vAlign w:val="center"/>
          </w:tcPr>
          <w:p>
            <w:pPr>
              <w:pStyle w:val="TableContents"/>
              <w:bidi w:val="0"/>
              <w:spacing w:before="0" w:after="283"/>
              <w:jc w:val="left"/>
              <w:rPr>
                <w:sz w:val="4"/>
                <w:szCs w:val="4"/>
              </w:rPr>
            </w:pPr>
            <w:r>
              <w:rPr>
                <w:sz w:val="4"/>
                <w:szCs w:val="4"/>
              </w:rPr>
            </w:r>
          </w:p>
        </w:tc>
        <w:tc>
          <w:tcPr>
            <w:tcW w:w="1903" w:type="dxa"/>
            <w:gridSpan w:val="2"/>
            <w:tcBorders/>
            <w:vAlign w:val="center"/>
          </w:tcPr>
          <w:p>
            <w:pPr>
              <w:pStyle w:val="TableContents"/>
              <w:bidi w:val="0"/>
              <w:spacing w:before="0" w:after="283"/>
              <w:jc w:val="left"/>
              <w:rPr>
                <w:sz w:val="4"/>
                <w:szCs w:val="4"/>
              </w:rPr>
            </w:pPr>
            <w:r>
              <w:rPr>
                <w:sz w:val="4"/>
                <w:szCs w:val="4"/>
              </w:rPr>
            </w:r>
          </w:p>
        </w:tc>
        <w:tc>
          <w:tcPr>
            <w:tcW w:w="2290" w:type="dxa"/>
            <w:gridSpan w:val="2"/>
            <w:tcBorders/>
            <w:vAlign w:val="center"/>
          </w:tcPr>
          <w:p>
            <w:pPr>
              <w:pStyle w:val="TableContents"/>
              <w:bidi w:val="0"/>
              <w:spacing w:before="0" w:after="283"/>
              <w:jc w:val="left"/>
              <w:rPr>
                <w:sz w:val="4"/>
                <w:szCs w:val="4"/>
              </w:rPr>
            </w:pPr>
            <w:r>
              <w:rPr>
                <w:sz w:val="4"/>
                <w:szCs w:val="4"/>
              </w:rPr>
            </w:r>
          </w:p>
        </w:tc>
        <w:tc>
          <w:tcPr>
            <w:tcW w:w="2550" w:type="dxa"/>
            <w:gridSpan w:val="2"/>
            <w:tcBorders/>
            <w:vAlign w:val="center"/>
          </w:tcPr>
          <w:p>
            <w:pPr>
              <w:pStyle w:val="TableContents"/>
              <w:bidi w:val="0"/>
              <w:spacing w:before="0" w:after="283"/>
              <w:jc w:val="left"/>
              <w:rPr>
                <w:sz w:val="4"/>
                <w:szCs w:val="4"/>
              </w:rPr>
            </w:pPr>
            <w:r>
              <w:rPr>
                <w:sz w:val="4"/>
                <w:szCs w:val="4"/>
              </w:rPr>
            </w:r>
          </w:p>
        </w:tc>
      </w:tr>
      <w:tr>
        <w:trPr/>
        <w:tc>
          <w:tcPr>
            <w:tcW w:w="3462" w:type="dxa"/>
            <w:tcBorders/>
          </w:tcPr>
          <w:p>
            <w:pPr>
              <w:pStyle w:val="TableContents"/>
              <w:bidi w:val="0"/>
              <w:spacing w:before="0" w:after="0"/>
              <w:jc w:val="left"/>
              <w:rPr>
                <w:rFonts w:ascii="Times New Roman" w:hAnsi="Times New Roman"/>
                <w:sz w:val="20"/>
              </w:rPr>
            </w:pPr>
            <w:r>
              <w:rPr>
                <w:rFonts w:ascii="Times New Roman" w:hAnsi="Times New Roman"/>
                <w:sz w:val="20"/>
              </w:rPr>
              <w:t>6.  Security Agreement (Singapore law)</w:t>
            </w:r>
          </w:p>
        </w:tc>
        <w:tc>
          <w:tcPr>
            <w:tcW w:w="123" w:type="dxa"/>
            <w:tcBorders/>
            <w:vAlign w:val="bottom"/>
          </w:tcPr>
          <w:p>
            <w:pPr>
              <w:pStyle w:val="TableContents"/>
              <w:bidi w:val="0"/>
              <w:spacing w:before="0" w:after="283"/>
              <w:jc w:val="left"/>
              <w:rPr/>
            </w:pPr>
            <w:r>
              <w:rPr/>
              <w:t>  </w:t>
            </w:r>
          </w:p>
        </w:tc>
        <w:tc>
          <w:tcPr>
            <w:tcW w:w="1780" w:type="dxa"/>
            <w:tcBorders/>
          </w:tcPr>
          <w:p>
            <w:pPr>
              <w:pStyle w:val="TableContents"/>
              <w:bidi w:val="0"/>
              <w:spacing w:before="0" w:after="283"/>
              <w:jc w:val="left"/>
              <w:rPr/>
            </w:pPr>
            <w:r>
              <w:rPr/>
              <w:t>MB (SG)</w:t>
            </w:r>
          </w:p>
        </w:tc>
        <w:tc>
          <w:tcPr>
            <w:tcW w:w="123" w:type="dxa"/>
            <w:tcBorders/>
            <w:vAlign w:val="bottom"/>
          </w:tcPr>
          <w:p>
            <w:pPr>
              <w:pStyle w:val="TableContents"/>
              <w:bidi w:val="0"/>
              <w:spacing w:before="0" w:after="283"/>
              <w:jc w:val="left"/>
              <w:rPr/>
            </w:pPr>
            <w:r>
              <w:rPr/>
              <w:t>  </w:t>
            </w:r>
          </w:p>
        </w:tc>
        <w:tc>
          <w:tcPr>
            <w:tcW w:w="2167" w:type="dxa"/>
            <w:tcBorders/>
          </w:tcPr>
          <w:p>
            <w:pPr>
              <w:pStyle w:val="TableContents"/>
              <w:bidi w:val="0"/>
              <w:spacing w:before="0" w:after="0"/>
              <w:jc w:val="left"/>
              <w:rPr/>
            </w:pPr>
            <w:r>
              <w:rPr/>
              <w:t xml:space="preserve">☐ </w:t>
            </w:r>
            <w:r>
              <w:rPr>
                <w:rFonts w:ascii="Times New Roman" w:hAnsi="Times New Roman"/>
                <w:sz w:val="20"/>
              </w:rPr>
              <w:t>Administrative Agent</w:t>
            </w:r>
          </w:p>
          <w:p>
            <w:pPr>
              <w:pStyle w:val="TableContents"/>
              <w:bidi w:val="0"/>
              <w:spacing w:before="0" w:after="20"/>
              <w:jc w:val="left"/>
              <w:rPr/>
            </w:pPr>
            <w:r>
              <w:rPr/>
              <w:t xml:space="preserve">☐ </w:t>
            </w:r>
            <w:r>
              <w:rPr>
                <w:rFonts w:ascii="Times New Roman" w:hAnsi="Times New Roman"/>
                <w:sz w:val="20"/>
              </w:rPr>
              <w:t>SPE</w:t>
            </w:r>
          </w:p>
        </w:tc>
        <w:tc>
          <w:tcPr>
            <w:tcW w:w="123" w:type="dxa"/>
            <w:tcBorders/>
            <w:vAlign w:val="bottom"/>
          </w:tcPr>
          <w:p>
            <w:pPr>
              <w:pStyle w:val="TableContents"/>
              <w:bidi w:val="0"/>
              <w:spacing w:before="0" w:after="283"/>
              <w:jc w:val="left"/>
              <w:rPr/>
            </w:pPr>
            <w:r>
              <w:rPr/>
              <w:t>  </w:t>
            </w:r>
          </w:p>
        </w:tc>
        <w:tc>
          <w:tcPr>
            <w:tcW w:w="2427" w:type="dxa"/>
            <w:tcBorders/>
          </w:tcPr>
          <w:p>
            <w:pPr>
              <w:pStyle w:val="TableContents"/>
              <w:bidi w:val="0"/>
              <w:spacing w:before="0" w:after="283"/>
              <w:jc w:val="left"/>
              <w:rPr/>
            </w:pPr>
            <w:r>
              <w:rPr/>
              <w:t>Effective Date Deliverable</w:t>
            </w:r>
          </w:p>
        </w:tc>
      </w:tr>
      <w:tr>
        <w:trPr>
          <w:trHeight w:val="120" w:hRule="atLeast"/>
        </w:trPr>
        <w:tc>
          <w:tcPr>
            <w:tcW w:w="3462" w:type="dxa"/>
            <w:tcBorders/>
            <w:vAlign w:val="center"/>
          </w:tcPr>
          <w:p>
            <w:pPr>
              <w:pStyle w:val="TableContents"/>
              <w:bidi w:val="0"/>
              <w:spacing w:before="0" w:after="283"/>
              <w:jc w:val="left"/>
              <w:rPr>
                <w:sz w:val="4"/>
                <w:szCs w:val="4"/>
              </w:rPr>
            </w:pPr>
            <w:r>
              <w:rPr>
                <w:sz w:val="4"/>
                <w:szCs w:val="4"/>
              </w:rPr>
            </w:r>
          </w:p>
        </w:tc>
        <w:tc>
          <w:tcPr>
            <w:tcW w:w="1903" w:type="dxa"/>
            <w:gridSpan w:val="2"/>
            <w:tcBorders/>
            <w:vAlign w:val="center"/>
          </w:tcPr>
          <w:p>
            <w:pPr>
              <w:pStyle w:val="TableContents"/>
              <w:bidi w:val="0"/>
              <w:spacing w:before="0" w:after="283"/>
              <w:jc w:val="left"/>
              <w:rPr>
                <w:sz w:val="4"/>
                <w:szCs w:val="4"/>
              </w:rPr>
            </w:pPr>
            <w:r>
              <w:rPr>
                <w:sz w:val="4"/>
                <w:szCs w:val="4"/>
              </w:rPr>
            </w:r>
          </w:p>
        </w:tc>
        <w:tc>
          <w:tcPr>
            <w:tcW w:w="2290" w:type="dxa"/>
            <w:gridSpan w:val="2"/>
            <w:tcBorders/>
            <w:vAlign w:val="center"/>
          </w:tcPr>
          <w:p>
            <w:pPr>
              <w:pStyle w:val="TableContents"/>
              <w:bidi w:val="0"/>
              <w:spacing w:before="0" w:after="283"/>
              <w:jc w:val="left"/>
              <w:rPr>
                <w:sz w:val="4"/>
                <w:szCs w:val="4"/>
              </w:rPr>
            </w:pPr>
            <w:r>
              <w:rPr>
                <w:sz w:val="4"/>
                <w:szCs w:val="4"/>
              </w:rPr>
            </w:r>
          </w:p>
        </w:tc>
        <w:tc>
          <w:tcPr>
            <w:tcW w:w="2550" w:type="dxa"/>
            <w:gridSpan w:val="2"/>
            <w:tcBorders/>
            <w:vAlign w:val="center"/>
          </w:tcPr>
          <w:p>
            <w:pPr>
              <w:pStyle w:val="TableContents"/>
              <w:bidi w:val="0"/>
              <w:spacing w:before="0" w:after="283"/>
              <w:jc w:val="left"/>
              <w:rPr>
                <w:sz w:val="4"/>
                <w:szCs w:val="4"/>
              </w:rPr>
            </w:pPr>
            <w:r>
              <w:rPr>
                <w:sz w:val="4"/>
                <w:szCs w:val="4"/>
              </w:rPr>
            </w:r>
          </w:p>
        </w:tc>
      </w:tr>
      <w:tr>
        <w:trPr/>
        <w:tc>
          <w:tcPr>
            <w:tcW w:w="3462" w:type="dxa"/>
            <w:tcBorders/>
          </w:tcPr>
          <w:p>
            <w:pPr>
              <w:pStyle w:val="TableContents"/>
              <w:bidi w:val="0"/>
              <w:spacing w:before="0" w:after="0"/>
              <w:jc w:val="left"/>
              <w:rPr>
                <w:rFonts w:ascii="Times New Roman" w:hAnsi="Times New Roman"/>
                <w:sz w:val="20"/>
              </w:rPr>
            </w:pPr>
            <w:r>
              <w:rPr>
                <w:rFonts w:ascii="Times New Roman" w:hAnsi="Times New Roman"/>
                <w:sz w:val="20"/>
              </w:rPr>
              <w:t>7.  Singapore Power of Attorney</w:t>
            </w:r>
          </w:p>
        </w:tc>
        <w:tc>
          <w:tcPr>
            <w:tcW w:w="123" w:type="dxa"/>
            <w:tcBorders/>
            <w:vAlign w:val="bottom"/>
          </w:tcPr>
          <w:p>
            <w:pPr>
              <w:pStyle w:val="TableContents"/>
              <w:bidi w:val="0"/>
              <w:spacing w:before="0" w:after="283"/>
              <w:jc w:val="left"/>
              <w:rPr/>
            </w:pPr>
            <w:r>
              <w:rPr/>
              <w:t>  </w:t>
            </w:r>
          </w:p>
        </w:tc>
        <w:tc>
          <w:tcPr>
            <w:tcW w:w="1780" w:type="dxa"/>
            <w:tcBorders/>
          </w:tcPr>
          <w:p>
            <w:pPr>
              <w:pStyle w:val="TableContents"/>
              <w:bidi w:val="0"/>
              <w:spacing w:before="0" w:after="283"/>
              <w:jc w:val="left"/>
              <w:rPr/>
            </w:pPr>
            <w:r>
              <w:rPr/>
              <w:t>MB (SG)</w:t>
            </w:r>
          </w:p>
        </w:tc>
        <w:tc>
          <w:tcPr>
            <w:tcW w:w="123" w:type="dxa"/>
            <w:tcBorders/>
            <w:vAlign w:val="bottom"/>
          </w:tcPr>
          <w:p>
            <w:pPr>
              <w:pStyle w:val="TableContents"/>
              <w:bidi w:val="0"/>
              <w:spacing w:before="0" w:after="283"/>
              <w:jc w:val="left"/>
              <w:rPr/>
            </w:pPr>
            <w:r>
              <w:rPr/>
              <w:t>  </w:t>
            </w:r>
          </w:p>
        </w:tc>
        <w:tc>
          <w:tcPr>
            <w:tcW w:w="2167" w:type="dxa"/>
            <w:tcBorders/>
          </w:tcPr>
          <w:p>
            <w:pPr>
              <w:pStyle w:val="TableContents"/>
              <w:bidi w:val="0"/>
              <w:spacing w:before="0" w:after="283"/>
              <w:jc w:val="left"/>
              <w:rPr/>
            </w:pPr>
            <w:r>
              <w:rPr/>
              <w:t xml:space="preserve">☐ </w:t>
            </w:r>
            <w:r>
              <w:rPr/>
              <w:t>SG Originator</w:t>
            </w:r>
          </w:p>
        </w:tc>
        <w:tc>
          <w:tcPr>
            <w:tcW w:w="123" w:type="dxa"/>
            <w:tcBorders/>
            <w:vAlign w:val="bottom"/>
          </w:tcPr>
          <w:p>
            <w:pPr>
              <w:pStyle w:val="TableContents"/>
              <w:bidi w:val="0"/>
              <w:spacing w:before="0" w:after="283"/>
              <w:jc w:val="left"/>
              <w:rPr/>
            </w:pPr>
            <w:r>
              <w:rPr/>
              <w:t>  </w:t>
            </w:r>
          </w:p>
        </w:tc>
        <w:tc>
          <w:tcPr>
            <w:tcW w:w="2427" w:type="dxa"/>
            <w:tcBorders/>
          </w:tcPr>
          <w:p>
            <w:pPr>
              <w:pStyle w:val="TableContents"/>
              <w:bidi w:val="0"/>
              <w:spacing w:before="0" w:after="283"/>
              <w:jc w:val="left"/>
              <w:rPr/>
            </w:pPr>
            <w:r>
              <w:rPr/>
              <w:t>Effective Date Deliverable</w:t>
            </w:r>
          </w:p>
        </w:tc>
      </w:tr>
      <w:tr>
        <w:trPr>
          <w:trHeight w:val="120" w:hRule="atLeast"/>
        </w:trPr>
        <w:tc>
          <w:tcPr>
            <w:tcW w:w="3462" w:type="dxa"/>
            <w:tcBorders/>
            <w:vAlign w:val="center"/>
          </w:tcPr>
          <w:p>
            <w:pPr>
              <w:pStyle w:val="TableContents"/>
              <w:bidi w:val="0"/>
              <w:spacing w:before="0" w:after="283"/>
              <w:jc w:val="left"/>
              <w:rPr>
                <w:sz w:val="4"/>
                <w:szCs w:val="4"/>
              </w:rPr>
            </w:pPr>
            <w:r>
              <w:rPr>
                <w:sz w:val="4"/>
                <w:szCs w:val="4"/>
              </w:rPr>
            </w:r>
          </w:p>
        </w:tc>
        <w:tc>
          <w:tcPr>
            <w:tcW w:w="1903" w:type="dxa"/>
            <w:gridSpan w:val="2"/>
            <w:tcBorders/>
            <w:vAlign w:val="center"/>
          </w:tcPr>
          <w:p>
            <w:pPr>
              <w:pStyle w:val="TableContents"/>
              <w:bidi w:val="0"/>
              <w:spacing w:before="0" w:after="283"/>
              <w:jc w:val="left"/>
              <w:rPr>
                <w:sz w:val="4"/>
                <w:szCs w:val="4"/>
              </w:rPr>
            </w:pPr>
            <w:r>
              <w:rPr>
                <w:sz w:val="4"/>
                <w:szCs w:val="4"/>
              </w:rPr>
            </w:r>
          </w:p>
        </w:tc>
        <w:tc>
          <w:tcPr>
            <w:tcW w:w="2290" w:type="dxa"/>
            <w:gridSpan w:val="2"/>
            <w:tcBorders/>
            <w:vAlign w:val="center"/>
          </w:tcPr>
          <w:p>
            <w:pPr>
              <w:pStyle w:val="TableContents"/>
              <w:bidi w:val="0"/>
              <w:spacing w:before="0" w:after="283"/>
              <w:jc w:val="left"/>
              <w:rPr>
                <w:sz w:val="4"/>
                <w:szCs w:val="4"/>
              </w:rPr>
            </w:pPr>
            <w:r>
              <w:rPr>
                <w:sz w:val="4"/>
                <w:szCs w:val="4"/>
              </w:rPr>
            </w:r>
          </w:p>
        </w:tc>
        <w:tc>
          <w:tcPr>
            <w:tcW w:w="2550" w:type="dxa"/>
            <w:gridSpan w:val="2"/>
            <w:tcBorders/>
            <w:vAlign w:val="center"/>
          </w:tcPr>
          <w:p>
            <w:pPr>
              <w:pStyle w:val="TableContents"/>
              <w:bidi w:val="0"/>
              <w:spacing w:before="0" w:after="283"/>
              <w:jc w:val="left"/>
              <w:rPr>
                <w:sz w:val="4"/>
                <w:szCs w:val="4"/>
              </w:rPr>
            </w:pPr>
            <w:r>
              <w:rPr>
                <w:sz w:val="4"/>
                <w:szCs w:val="4"/>
              </w:rPr>
            </w:r>
          </w:p>
        </w:tc>
      </w:tr>
      <w:tr>
        <w:trPr/>
        <w:tc>
          <w:tcPr>
            <w:tcW w:w="3462" w:type="dxa"/>
            <w:tcBorders/>
          </w:tcPr>
          <w:p>
            <w:pPr>
              <w:pStyle w:val="TableContents"/>
              <w:bidi w:val="0"/>
              <w:spacing w:before="0" w:after="0"/>
              <w:jc w:val="left"/>
              <w:rPr>
                <w:rFonts w:ascii="Times New Roman" w:hAnsi="Times New Roman"/>
                <w:sz w:val="20"/>
              </w:rPr>
            </w:pPr>
            <w:r>
              <w:rPr>
                <w:rFonts w:ascii="Times New Roman" w:hAnsi="Times New Roman"/>
                <w:sz w:val="20"/>
              </w:rPr>
              <w:t>8.  Notice of Assignment</w:t>
            </w:r>
          </w:p>
        </w:tc>
        <w:tc>
          <w:tcPr>
            <w:tcW w:w="123" w:type="dxa"/>
            <w:tcBorders/>
            <w:vAlign w:val="bottom"/>
          </w:tcPr>
          <w:p>
            <w:pPr>
              <w:pStyle w:val="TableContents"/>
              <w:bidi w:val="0"/>
              <w:spacing w:before="0" w:after="283"/>
              <w:jc w:val="left"/>
              <w:rPr/>
            </w:pPr>
            <w:r>
              <w:rPr/>
              <w:t>  </w:t>
            </w:r>
          </w:p>
        </w:tc>
        <w:tc>
          <w:tcPr>
            <w:tcW w:w="1780" w:type="dxa"/>
            <w:tcBorders/>
          </w:tcPr>
          <w:p>
            <w:pPr>
              <w:pStyle w:val="TableContents"/>
              <w:bidi w:val="0"/>
              <w:spacing w:before="0" w:after="283"/>
              <w:jc w:val="left"/>
              <w:rPr/>
            </w:pPr>
            <w:r>
              <w:rPr/>
              <w:t>Sabre Counsel</w:t>
            </w:r>
          </w:p>
        </w:tc>
        <w:tc>
          <w:tcPr>
            <w:tcW w:w="123" w:type="dxa"/>
            <w:tcBorders/>
            <w:vAlign w:val="bottom"/>
          </w:tcPr>
          <w:p>
            <w:pPr>
              <w:pStyle w:val="TableContents"/>
              <w:bidi w:val="0"/>
              <w:spacing w:before="0" w:after="283"/>
              <w:jc w:val="left"/>
              <w:rPr/>
            </w:pPr>
            <w:r>
              <w:rPr/>
              <w:t>  </w:t>
            </w:r>
          </w:p>
        </w:tc>
        <w:tc>
          <w:tcPr>
            <w:tcW w:w="2167" w:type="dxa"/>
            <w:tcBorders/>
          </w:tcPr>
          <w:p>
            <w:pPr>
              <w:pStyle w:val="TableContents"/>
              <w:bidi w:val="0"/>
              <w:spacing w:before="0" w:after="283"/>
              <w:jc w:val="left"/>
              <w:rPr/>
            </w:pPr>
            <w:r>
              <w:rPr/>
              <w:t xml:space="preserve">☐ </w:t>
            </w:r>
            <w:r>
              <w:rPr/>
              <w:t>SPE</w:t>
            </w:r>
          </w:p>
        </w:tc>
        <w:tc>
          <w:tcPr>
            <w:tcW w:w="123" w:type="dxa"/>
            <w:tcBorders/>
            <w:vAlign w:val="bottom"/>
          </w:tcPr>
          <w:p>
            <w:pPr>
              <w:pStyle w:val="TableContents"/>
              <w:bidi w:val="0"/>
              <w:spacing w:before="0" w:after="283"/>
              <w:jc w:val="left"/>
              <w:rPr/>
            </w:pPr>
            <w:r>
              <w:rPr/>
              <w:t>  </w:t>
            </w:r>
          </w:p>
        </w:tc>
        <w:tc>
          <w:tcPr>
            <w:tcW w:w="2427" w:type="dxa"/>
            <w:tcBorders/>
          </w:tcPr>
          <w:p>
            <w:pPr>
              <w:pStyle w:val="TableContents"/>
              <w:bidi w:val="0"/>
              <w:spacing w:before="0" w:after="283"/>
              <w:jc w:val="left"/>
              <w:rPr/>
            </w:pPr>
            <w:r>
              <w:rPr/>
              <w:t>Effective Date Deliverable</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742"/>
        <w:gridCol w:w="124"/>
        <w:gridCol w:w="1285"/>
        <w:gridCol w:w="124"/>
        <w:gridCol w:w="2366"/>
        <w:gridCol w:w="124"/>
        <w:gridCol w:w="2440"/>
      </w:tblGrid>
      <w:tr>
        <w:trPr/>
        <w:tc>
          <w:tcPr>
            <w:tcW w:w="3742"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r>
      <w:tr>
        <w:trPr/>
        <w:tc>
          <w:tcPr>
            <w:tcW w:w="3742"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Document</w:t>
            </w:r>
          </w:p>
        </w:tc>
        <w:tc>
          <w:tcPr>
            <w:tcW w:w="124" w:type="dxa"/>
            <w:tcBorders/>
            <w:vAlign w:val="bottom"/>
          </w:tcPr>
          <w:p>
            <w:pPr>
              <w:pStyle w:val="TableContents"/>
              <w:bidi w:val="0"/>
              <w:spacing w:before="0" w:after="283"/>
              <w:jc w:val="left"/>
              <w:rPr/>
            </w:pPr>
            <w:r>
              <w:rPr/>
              <w:t>  </w:t>
            </w:r>
          </w:p>
        </w:tc>
        <w:tc>
          <w:tcPr>
            <w:tcW w:w="1285"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Responsible</w:t>
            </w:r>
          </w:p>
          <w:p>
            <w:pPr>
              <w:pStyle w:val="TableContents"/>
              <w:bidi w:val="0"/>
              <w:spacing w:before="0" w:after="20"/>
              <w:jc w:val="center"/>
              <w:rPr>
                <w:rFonts w:ascii="Times New Roman" w:hAnsi="Times New Roman"/>
                <w:sz w:val="16"/>
              </w:rPr>
            </w:pPr>
            <w:r>
              <w:rPr>
                <w:rFonts w:ascii="Times New Roman" w:hAnsi="Times New Roman"/>
                <w:sz w:val="16"/>
              </w:rPr>
              <w:t>Party</w:t>
            </w:r>
          </w:p>
        </w:tc>
        <w:tc>
          <w:tcPr>
            <w:tcW w:w="124" w:type="dxa"/>
            <w:tcBorders/>
            <w:vAlign w:val="bottom"/>
          </w:tcPr>
          <w:p>
            <w:pPr>
              <w:pStyle w:val="TableContents"/>
              <w:bidi w:val="0"/>
              <w:spacing w:before="0" w:after="283"/>
              <w:jc w:val="left"/>
              <w:rPr/>
            </w:pPr>
            <w:r>
              <w:rPr/>
              <w:t>  </w:t>
            </w:r>
          </w:p>
        </w:tc>
        <w:tc>
          <w:tcPr>
            <w:tcW w:w="23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Signatures Needed</w:t>
            </w:r>
          </w:p>
        </w:tc>
        <w:tc>
          <w:tcPr>
            <w:tcW w:w="124" w:type="dxa"/>
            <w:tcBorders/>
            <w:vAlign w:val="bottom"/>
          </w:tcPr>
          <w:p>
            <w:pPr>
              <w:pStyle w:val="TableContents"/>
              <w:bidi w:val="0"/>
              <w:spacing w:before="0" w:after="283"/>
              <w:jc w:val="left"/>
              <w:rPr/>
            </w:pPr>
            <w:r>
              <w:rPr/>
              <w:t>  </w:t>
            </w:r>
          </w:p>
        </w:tc>
        <w:tc>
          <w:tcPr>
            <w:tcW w:w="244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Signing Date Deliverable</w:t>
            </w:r>
          </w:p>
          <w:p>
            <w:pPr>
              <w:pStyle w:val="TableContents"/>
              <w:bidi w:val="0"/>
              <w:spacing w:before="0" w:after="0"/>
              <w:jc w:val="center"/>
              <w:rPr>
                <w:rFonts w:ascii="Times New Roman" w:hAnsi="Times New Roman"/>
                <w:sz w:val="16"/>
              </w:rPr>
            </w:pPr>
            <w:r>
              <w:rPr>
                <w:rFonts w:ascii="Times New Roman" w:hAnsi="Times New Roman"/>
                <w:sz w:val="16"/>
              </w:rPr>
              <w:t>or Effective Date</w:t>
            </w:r>
          </w:p>
          <w:p>
            <w:pPr>
              <w:pStyle w:val="TableContents"/>
              <w:bidi w:val="0"/>
              <w:spacing w:before="0" w:after="20"/>
              <w:jc w:val="center"/>
              <w:rPr>
                <w:rFonts w:ascii="Times New Roman" w:hAnsi="Times New Roman"/>
                <w:sz w:val="16"/>
              </w:rPr>
            </w:pPr>
            <w:r>
              <w:rPr>
                <w:rFonts w:ascii="Times New Roman" w:hAnsi="Times New Roman"/>
                <w:sz w:val="16"/>
              </w:rPr>
              <w:t>Deliverable</w:t>
            </w:r>
          </w:p>
        </w:tc>
      </w:tr>
      <w:tr>
        <w:trPr/>
        <w:tc>
          <w:tcPr>
            <w:tcW w:w="3742" w:type="dxa"/>
            <w:tcBorders/>
          </w:tcPr>
          <w:p>
            <w:pPr>
              <w:pStyle w:val="TableContents"/>
              <w:bidi w:val="0"/>
              <w:spacing w:before="0" w:after="0"/>
              <w:jc w:val="left"/>
              <w:rPr>
                <w:rFonts w:ascii="Times New Roman" w:hAnsi="Times New Roman"/>
                <w:sz w:val="20"/>
              </w:rPr>
            </w:pPr>
            <w:r>
              <w:rPr>
                <w:rFonts w:ascii="Times New Roman" w:hAnsi="Times New Roman"/>
                <w:sz w:val="20"/>
              </w:rPr>
              <w:t>9.  A&amp;R Performance Guaranty covering obligations of the Originators and the Servicers</w:t>
            </w:r>
          </w:p>
        </w:tc>
        <w:tc>
          <w:tcPr>
            <w:tcW w:w="124" w:type="dxa"/>
            <w:tcBorders/>
            <w:vAlign w:val="bottom"/>
          </w:tcPr>
          <w:p>
            <w:pPr>
              <w:pStyle w:val="TableContents"/>
              <w:bidi w:val="0"/>
              <w:spacing w:before="0" w:after="283"/>
              <w:jc w:val="left"/>
              <w:rPr/>
            </w:pPr>
            <w:r>
              <w:rPr/>
              <w:t>  </w:t>
            </w:r>
          </w:p>
        </w:tc>
        <w:tc>
          <w:tcPr>
            <w:tcW w:w="1285" w:type="dxa"/>
            <w:tcBorders/>
          </w:tcPr>
          <w:p>
            <w:pPr>
              <w:pStyle w:val="TableContents"/>
              <w:bidi w:val="0"/>
              <w:spacing w:before="0" w:after="283"/>
              <w:jc w:val="left"/>
              <w:rPr/>
            </w:pPr>
            <w:r>
              <w:rPr/>
              <w:t>MB</w:t>
            </w:r>
          </w:p>
        </w:tc>
        <w:tc>
          <w:tcPr>
            <w:tcW w:w="124" w:type="dxa"/>
            <w:tcBorders/>
            <w:vAlign w:val="bottom"/>
          </w:tcPr>
          <w:p>
            <w:pPr>
              <w:pStyle w:val="TableContents"/>
              <w:bidi w:val="0"/>
              <w:spacing w:before="0" w:after="283"/>
              <w:jc w:val="left"/>
              <w:rPr/>
            </w:pPr>
            <w:r>
              <w:rPr/>
              <w:t>  </w:t>
            </w:r>
          </w:p>
        </w:tc>
        <w:tc>
          <w:tcPr>
            <w:tcW w:w="2366" w:type="dxa"/>
            <w:tcBorders/>
          </w:tcPr>
          <w:p>
            <w:pPr>
              <w:pStyle w:val="TableContents"/>
              <w:bidi w:val="0"/>
              <w:spacing w:before="0" w:after="0"/>
              <w:jc w:val="left"/>
              <w:rPr/>
            </w:pPr>
            <w:r>
              <w:rPr/>
              <w:t>☐ </w:t>
            </w:r>
            <w:r>
              <w:rPr>
                <w:rFonts w:ascii="Times New Roman" w:hAnsi="Times New Roman"/>
                <w:sz w:val="20"/>
              </w:rPr>
              <w:t>Performance Guarantor</w:t>
            </w:r>
          </w:p>
          <w:p>
            <w:pPr>
              <w:pStyle w:val="TableContents"/>
              <w:bidi w:val="0"/>
              <w:spacing w:before="0" w:after="20"/>
              <w:jc w:val="left"/>
              <w:rPr/>
            </w:pPr>
            <w:r>
              <w:rPr/>
              <w:t xml:space="preserve">☐ </w:t>
            </w:r>
            <w:r>
              <w:rPr>
                <w:rFonts w:ascii="Times New Roman" w:hAnsi="Times New Roman"/>
                <w:sz w:val="20"/>
              </w:rPr>
              <w:t>Administrative Agent</w:t>
            </w:r>
          </w:p>
        </w:tc>
        <w:tc>
          <w:tcPr>
            <w:tcW w:w="124" w:type="dxa"/>
            <w:tcBorders/>
            <w:vAlign w:val="bottom"/>
          </w:tcPr>
          <w:p>
            <w:pPr>
              <w:pStyle w:val="TableContents"/>
              <w:bidi w:val="0"/>
              <w:spacing w:before="0" w:after="283"/>
              <w:jc w:val="left"/>
              <w:rPr/>
            </w:pPr>
            <w:r>
              <w:rPr/>
              <w:t>  </w:t>
            </w:r>
          </w:p>
        </w:tc>
        <w:tc>
          <w:tcPr>
            <w:tcW w:w="2440" w:type="dxa"/>
            <w:tcBorders/>
          </w:tcPr>
          <w:p>
            <w:pPr>
              <w:pStyle w:val="TableContents"/>
              <w:bidi w:val="0"/>
              <w:spacing w:before="0" w:after="283"/>
              <w:jc w:val="left"/>
              <w:rPr/>
            </w:pPr>
            <w:r>
              <w:rPr/>
              <w:t>Effective Date Deliverable</w:t>
            </w:r>
          </w:p>
        </w:tc>
      </w:tr>
      <w:tr>
        <w:trPr>
          <w:trHeight w:val="120" w:hRule="atLeast"/>
        </w:trPr>
        <w:tc>
          <w:tcPr>
            <w:tcW w:w="3742" w:type="dxa"/>
            <w:tcBorders/>
            <w:vAlign w:val="center"/>
          </w:tcPr>
          <w:p>
            <w:pPr>
              <w:pStyle w:val="TableContents"/>
              <w:bidi w:val="0"/>
              <w:spacing w:before="0" w:after="283"/>
              <w:jc w:val="left"/>
              <w:rPr>
                <w:sz w:val="4"/>
                <w:szCs w:val="4"/>
              </w:rPr>
            </w:pPr>
            <w:r>
              <w:rPr>
                <w:sz w:val="4"/>
                <w:szCs w:val="4"/>
              </w:rPr>
            </w:r>
          </w:p>
        </w:tc>
        <w:tc>
          <w:tcPr>
            <w:tcW w:w="1409" w:type="dxa"/>
            <w:gridSpan w:val="2"/>
            <w:tcBorders/>
            <w:vAlign w:val="center"/>
          </w:tcPr>
          <w:p>
            <w:pPr>
              <w:pStyle w:val="TableContents"/>
              <w:bidi w:val="0"/>
              <w:spacing w:before="0" w:after="283"/>
              <w:jc w:val="left"/>
              <w:rPr>
                <w:sz w:val="4"/>
                <w:szCs w:val="4"/>
              </w:rPr>
            </w:pPr>
            <w:r>
              <w:rPr>
                <w:sz w:val="4"/>
                <w:szCs w:val="4"/>
              </w:rPr>
            </w:r>
          </w:p>
        </w:tc>
        <w:tc>
          <w:tcPr>
            <w:tcW w:w="2490" w:type="dxa"/>
            <w:gridSpan w:val="2"/>
            <w:tcBorders/>
            <w:vAlign w:val="center"/>
          </w:tcPr>
          <w:p>
            <w:pPr>
              <w:pStyle w:val="TableContents"/>
              <w:bidi w:val="0"/>
              <w:spacing w:before="0" w:after="283"/>
              <w:jc w:val="left"/>
              <w:rPr>
                <w:sz w:val="4"/>
                <w:szCs w:val="4"/>
              </w:rPr>
            </w:pPr>
            <w:r>
              <w:rPr>
                <w:sz w:val="4"/>
                <w:szCs w:val="4"/>
              </w:rPr>
            </w:r>
          </w:p>
        </w:tc>
        <w:tc>
          <w:tcPr>
            <w:tcW w:w="2564" w:type="dxa"/>
            <w:gridSpan w:val="2"/>
            <w:tcBorders/>
            <w:vAlign w:val="center"/>
          </w:tcPr>
          <w:p>
            <w:pPr>
              <w:pStyle w:val="TableContents"/>
              <w:bidi w:val="0"/>
              <w:spacing w:before="0" w:after="283"/>
              <w:jc w:val="left"/>
              <w:rPr>
                <w:sz w:val="4"/>
                <w:szCs w:val="4"/>
              </w:rPr>
            </w:pPr>
            <w:r>
              <w:rPr>
                <w:sz w:val="4"/>
                <w:szCs w:val="4"/>
              </w:rPr>
            </w:r>
          </w:p>
        </w:tc>
      </w:tr>
      <w:tr>
        <w:trPr/>
        <w:tc>
          <w:tcPr>
            <w:tcW w:w="3742" w:type="dxa"/>
            <w:tcBorders/>
          </w:tcPr>
          <w:p>
            <w:pPr>
              <w:pStyle w:val="TableContents"/>
              <w:bidi w:val="0"/>
              <w:spacing w:before="0" w:after="0"/>
              <w:jc w:val="left"/>
              <w:rPr>
                <w:rFonts w:ascii="Times New Roman" w:hAnsi="Times New Roman"/>
                <w:sz w:val="20"/>
              </w:rPr>
            </w:pPr>
            <w:r>
              <w:rPr>
                <w:rFonts w:ascii="Times New Roman" w:hAnsi="Times New Roman"/>
                <w:sz w:val="20"/>
              </w:rPr>
              <w:t>10.  Administrative Agent Fee Letter (Structuring Agent and Administrative Agent)</w:t>
            </w:r>
          </w:p>
        </w:tc>
        <w:tc>
          <w:tcPr>
            <w:tcW w:w="124" w:type="dxa"/>
            <w:tcBorders/>
            <w:vAlign w:val="bottom"/>
          </w:tcPr>
          <w:p>
            <w:pPr>
              <w:pStyle w:val="TableContents"/>
              <w:bidi w:val="0"/>
              <w:spacing w:before="0" w:after="283"/>
              <w:jc w:val="left"/>
              <w:rPr/>
            </w:pPr>
            <w:r>
              <w:rPr/>
              <w:t>  </w:t>
            </w:r>
          </w:p>
        </w:tc>
        <w:tc>
          <w:tcPr>
            <w:tcW w:w="1285" w:type="dxa"/>
            <w:tcBorders/>
          </w:tcPr>
          <w:p>
            <w:pPr>
              <w:pStyle w:val="TableContents"/>
              <w:bidi w:val="0"/>
              <w:spacing w:before="0" w:after="283"/>
              <w:jc w:val="left"/>
              <w:rPr/>
            </w:pPr>
            <w:r>
              <w:rPr/>
              <w:t>MB</w:t>
            </w:r>
          </w:p>
        </w:tc>
        <w:tc>
          <w:tcPr>
            <w:tcW w:w="124" w:type="dxa"/>
            <w:tcBorders/>
            <w:vAlign w:val="bottom"/>
          </w:tcPr>
          <w:p>
            <w:pPr>
              <w:pStyle w:val="TableContents"/>
              <w:bidi w:val="0"/>
              <w:spacing w:before="0" w:after="283"/>
              <w:jc w:val="left"/>
              <w:rPr/>
            </w:pPr>
            <w:r>
              <w:rPr/>
              <w:t>  </w:t>
            </w:r>
          </w:p>
        </w:tc>
        <w:tc>
          <w:tcPr>
            <w:tcW w:w="2366" w:type="dxa"/>
            <w:tcBorders/>
          </w:tcPr>
          <w:p>
            <w:pPr>
              <w:pStyle w:val="TableContents"/>
              <w:bidi w:val="0"/>
              <w:spacing w:before="0" w:after="0"/>
              <w:jc w:val="left"/>
              <w:rPr/>
            </w:pPr>
            <w:r>
              <w:rPr/>
              <w:t xml:space="preserve">☐ </w:t>
            </w:r>
            <w:r>
              <w:rPr>
                <w:rFonts w:ascii="Times New Roman" w:hAnsi="Times New Roman"/>
                <w:sz w:val="20"/>
              </w:rPr>
              <w:t>SPE</w:t>
            </w:r>
          </w:p>
          <w:p>
            <w:pPr>
              <w:pStyle w:val="TableContents"/>
              <w:bidi w:val="0"/>
              <w:spacing w:before="0" w:after="0"/>
              <w:jc w:val="left"/>
              <w:rPr/>
            </w:pPr>
            <w:r>
              <w:rPr/>
              <w:t xml:space="preserve">☐ </w:t>
            </w:r>
            <w:r>
              <w:rPr>
                <w:rFonts w:ascii="Times New Roman" w:hAnsi="Times New Roman"/>
                <w:sz w:val="20"/>
              </w:rPr>
              <w:t>Servicers</w:t>
            </w:r>
          </w:p>
          <w:p>
            <w:pPr>
              <w:pStyle w:val="TableContents"/>
              <w:bidi w:val="0"/>
              <w:spacing w:before="0" w:after="0"/>
              <w:jc w:val="left"/>
              <w:rPr/>
            </w:pPr>
            <w:r>
              <w:rPr/>
              <w:t xml:space="preserve">☐ </w:t>
            </w:r>
            <w:r>
              <w:rPr>
                <w:rFonts w:ascii="Times New Roman" w:hAnsi="Times New Roman"/>
                <w:sz w:val="20"/>
              </w:rPr>
              <w:t>Structuring Agent</w:t>
            </w:r>
          </w:p>
          <w:p>
            <w:pPr>
              <w:pStyle w:val="TableContents"/>
              <w:bidi w:val="0"/>
              <w:spacing w:before="0" w:after="20"/>
              <w:jc w:val="left"/>
              <w:rPr/>
            </w:pPr>
            <w:r>
              <w:rPr/>
              <w:t xml:space="preserve">☐ </w:t>
            </w:r>
            <w:r>
              <w:rPr>
                <w:rFonts w:ascii="Times New Roman" w:hAnsi="Times New Roman"/>
                <w:sz w:val="20"/>
              </w:rPr>
              <w:t>Administrative Agent</w:t>
            </w:r>
          </w:p>
        </w:tc>
        <w:tc>
          <w:tcPr>
            <w:tcW w:w="124" w:type="dxa"/>
            <w:tcBorders/>
            <w:vAlign w:val="bottom"/>
          </w:tcPr>
          <w:p>
            <w:pPr>
              <w:pStyle w:val="TableContents"/>
              <w:bidi w:val="0"/>
              <w:spacing w:before="0" w:after="283"/>
              <w:jc w:val="left"/>
              <w:rPr/>
            </w:pPr>
            <w:r>
              <w:rPr/>
              <w:t>  </w:t>
            </w:r>
          </w:p>
        </w:tc>
        <w:tc>
          <w:tcPr>
            <w:tcW w:w="2440" w:type="dxa"/>
            <w:tcBorders/>
          </w:tcPr>
          <w:p>
            <w:pPr>
              <w:pStyle w:val="TableContents"/>
              <w:bidi w:val="0"/>
              <w:spacing w:before="0" w:after="283"/>
              <w:jc w:val="left"/>
              <w:rPr/>
            </w:pPr>
            <w:r>
              <w:rPr/>
              <w:t>Signing Date Deliverable</w:t>
            </w:r>
          </w:p>
        </w:tc>
      </w:tr>
      <w:tr>
        <w:trPr>
          <w:trHeight w:val="120" w:hRule="atLeast"/>
        </w:trPr>
        <w:tc>
          <w:tcPr>
            <w:tcW w:w="3742" w:type="dxa"/>
            <w:tcBorders/>
            <w:vAlign w:val="center"/>
          </w:tcPr>
          <w:p>
            <w:pPr>
              <w:pStyle w:val="TableContents"/>
              <w:bidi w:val="0"/>
              <w:spacing w:before="0" w:after="283"/>
              <w:jc w:val="left"/>
              <w:rPr>
                <w:sz w:val="4"/>
                <w:szCs w:val="4"/>
              </w:rPr>
            </w:pPr>
            <w:r>
              <w:rPr>
                <w:sz w:val="4"/>
                <w:szCs w:val="4"/>
              </w:rPr>
            </w:r>
          </w:p>
        </w:tc>
        <w:tc>
          <w:tcPr>
            <w:tcW w:w="1409" w:type="dxa"/>
            <w:gridSpan w:val="2"/>
            <w:tcBorders/>
            <w:vAlign w:val="center"/>
          </w:tcPr>
          <w:p>
            <w:pPr>
              <w:pStyle w:val="TableContents"/>
              <w:bidi w:val="0"/>
              <w:spacing w:before="0" w:after="283"/>
              <w:jc w:val="left"/>
              <w:rPr>
                <w:sz w:val="4"/>
                <w:szCs w:val="4"/>
              </w:rPr>
            </w:pPr>
            <w:r>
              <w:rPr>
                <w:sz w:val="4"/>
                <w:szCs w:val="4"/>
              </w:rPr>
            </w:r>
          </w:p>
        </w:tc>
        <w:tc>
          <w:tcPr>
            <w:tcW w:w="2490" w:type="dxa"/>
            <w:gridSpan w:val="2"/>
            <w:tcBorders/>
            <w:vAlign w:val="center"/>
          </w:tcPr>
          <w:p>
            <w:pPr>
              <w:pStyle w:val="TableContents"/>
              <w:bidi w:val="0"/>
              <w:spacing w:before="0" w:after="283"/>
              <w:jc w:val="left"/>
              <w:rPr>
                <w:sz w:val="4"/>
                <w:szCs w:val="4"/>
              </w:rPr>
            </w:pPr>
            <w:r>
              <w:rPr>
                <w:sz w:val="4"/>
                <w:szCs w:val="4"/>
              </w:rPr>
            </w:r>
          </w:p>
        </w:tc>
        <w:tc>
          <w:tcPr>
            <w:tcW w:w="2564" w:type="dxa"/>
            <w:gridSpan w:val="2"/>
            <w:tcBorders/>
            <w:vAlign w:val="center"/>
          </w:tcPr>
          <w:p>
            <w:pPr>
              <w:pStyle w:val="TableContents"/>
              <w:bidi w:val="0"/>
              <w:spacing w:before="0" w:after="283"/>
              <w:jc w:val="left"/>
              <w:rPr>
                <w:sz w:val="4"/>
                <w:szCs w:val="4"/>
              </w:rPr>
            </w:pPr>
            <w:r>
              <w:rPr>
                <w:sz w:val="4"/>
                <w:szCs w:val="4"/>
              </w:rPr>
            </w:r>
          </w:p>
        </w:tc>
      </w:tr>
      <w:tr>
        <w:trPr/>
        <w:tc>
          <w:tcPr>
            <w:tcW w:w="3742" w:type="dxa"/>
            <w:tcBorders/>
          </w:tcPr>
          <w:p>
            <w:pPr>
              <w:pStyle w:val="TableContents"/>
              <w:bidi w:val="0"/>
              <w:spacing w:before="0" w:after="0"/>
              <w:jc w:val="left"/>
              <w:rPr>
                <w:rFonts w:ascii="Times New Roman" w:hAnsi="Times New Roman"/>
                <w:sz w:val="20"/>
              </w:rPr>
            </w:pPr>
            <w:r>
              <w:rPr>
                <w:rFonts w:ascii="Times New Roman" w:hAnsi="Times New Roman"/>
                <w:sz w:val="20"/>
              </w:rPr>
              <w:t>11.  Class A Lender Fee Letter (Lender, Structuring Agent and Administrative Agent)</w:t>
            </w:r>
          </w:p>
        </w:tc>
        <w:tc>
          <w:tcPr>
            <w:tcW w:w="124" w:type="dxa"/>
            <w:tcBorders/>
            <w:vAlign w:val="bottom"/>
          </w:tcPr>
          <w:p>
            <w:pPr>
              <w:pStyle w:val="TableContents"/>
              <w:bidi w:val="0"/>
              <w:spacing w:before="0" w:after="283"/>
              <w:jc w:val="left"/>
              <w:rPr/>
            </w:pPr>
            <w:r>
              <w:rPr/>
              <w:t>  </w:t>
            </w:r>
          </w:p>
        </w:tc>
        <w:tc>
          <w:tcPr>
            <w:tcW w:w="1285" w:type="dxa"/>
            <w:tcBorders/>
          </w:tcPr>
          <w:p>
            <w:pPr>
              <w:pStyle w:val="TableContents"/>
              <w:bidi w:val="0"/>
              <w:spacing w:before="0" w:after="283"/>
              <w:jc w:val="left"/>
              <w:rPr/>
            </w:pPr>
            <w:r>
              <w:rPr/>
              <w:t>MB</w:t>
            </w:r>
          </w:p>
        </w:tc>
        <w:tc>
          <w:tcPr>
            <w:tcW w:w="124" w:type="dxa"/>
            <w:tcBorders/>
            <w:vAlign w:val="bottom"/>
          </w:tcPr>
          <w:p>
            <w:pPr>
              <w:pStyle w:val="TableContents"/>
              <w:bidi w:val="0"/>
              <w:spacing w:before="0" w:after="283"/>
              <w:jc w:val="left"/>
              <w:rPr/>
            </w:pPr>
            <w:r>
              <w:rPr/>
              <w:t>  </w:t>
            </w:r>
          </w:p>
        </w:tc>
        <w:tc>
          <w:tcPr>
            <w:tcW w:w="2366" w:type="dxa"/>
            <w:tcBorders/>
          </w:tcPr>
          <w:p>
            <w:pPr>
              <w:pStyle w:val="TableContents"/>
              <w:bidi w:val="0"/>
              <w:spacing w:before="0" w:after="0"/>
              <w:jc w:val="left"/>
              <w:rPr/>
            </w:pPr>
            <w:r>
              <w:rPr/>
              <w:t xml:space="preserve">☐ </w:t>
            </w:r>
            <w:r>
              <w:rPr>
                <w:rFonts w:ascii="Times New Roman" w:hAnsi="Times New Roman"/>
                <w:sz w:val="20"/>
              </w:rPr>
              <w:t>SPE</w:t>
            </w:r>
          </w:p>
          <w:p>
            <w:pPr>
              <w:pStyle w:val="TableContents"/>
              <w:bidi w:val="0"/>
              <w:spacing w:before="0" w:after="0"/>
              <w:jc w:val="left"/>
              <w:rPr/>
            </w:pPr>
            <w:r>
              <w:rPr/>
              <w:t xml:space="preserve">☐ </w:t>
            </w:r>
            <w:r>
              <w:rPr>
                <w:rFonts w:ascii="Times New Roman" w:hAnsi="Times New Roman"/>
                <w:sz w:val="20"/>
              </w:rPr>
              <w:t>Servicers</w:t>
            </w:r>
          </w:p>
          <w:p>
            <w:pPr>
              <w:pStyle w:val="TableContents"/>
              <w:bidi w:val="0"/>
              <w:spacing w:before="0" w:after="0"/>
              <w:jc w:val="left"/>
              <w:rPr/>
            </w:pPr>
            <w:r>
              <w:rPr/>
              <w:t xml:space="preserve">☐ </w:t>
            </w:r>
            <w:r>
              <w:rPr>
                <w:rFonts w:ascii="Times New Roman" w:hAnsi="Times New Roman"/>
                <w:sz w:val="20"/>
              </w:rPr>
              <w:t>Structuring Agent</w:t>
            </w:r>
          </w:p>
          <w:p>
            <w:pPr>
              <w:pStyle w:val="TableContents"/>
              <w:bidi w:val="0"/>
              <w:spacing w:before="0" w:after="0"/>
              <w:jc w:val="left"/>
              <w:rPr/>
            </w:pPr>
            <w:r>
              <w:rPr/>
              <w:t xml:space="preserve">☐ </w:t>
            </w:r>
            <w:r>
              <w:rPr>
                <w:rFonts w:ascii="Times New Roman" w:hAnsi="Times New Roman"/>
                <w:sz w:val="20"/>
              </w:rPr>
              <w:t>Administrative Agent</w:t>
            </w:r>
          </w:p>
          <w:p>
            <w:pPr>
              <w:pStyle w:val="TableContents"/>
              <w:bidi w:val="0"/>
              <w:spacing w:before="0" w:after="20"/>
              <w:jc w:val="left"/>
              <w:rPr/>
            </w:pPr>
            <w:r>
              <w:rPr/>
              <w:t xml:space="preserve">☐ </w:t>
            </w:r>
            <w:r>
              <w:rPr>
                <w:rFonts w:ascii="Times New Roman" w:hAnsi="Times New Roman"/>
                <w:sz w:val="20"/>
              </w:rPr>
              <w:t>Class A Lenders</w:t>
            </w:r>
          </w:p>
        </w:tc>
        <w:tc>
          <w:tcPr>
            <w:tcW w:w="124" w:type="dxa"/>
            <w:tcBorders/>
            <w:vAlign w:val="bottom"/>
          </w:tcPr>
          <w:p>
            <w:pPr>
              <w:pStyle w:val="TableContents"/>
              <w:bidi w:val="0"/>
              <w:spacing w:before="0" w:after="283"/>
              <w:jc w:val="left"/>
              <w:rPr/>
            </w:pPr>
            <w:r>
              <w:rPr/>
              <w:t>  </w:t>
            </w:r>
          </w:p>
        </w:tc>
        <w:tc>
          <w:tcPr>
            <w:tcW w:w="2440" w:type="dxa"/>
            <w:tcBorders/>
          </w:tcPr>
          <w:p>
            <w:pPr>
              <w:pStyle w:val="TableContents"/>
              <w:bidi w:val="0"/>
              <w:spacing w:before="0" w:after="283"/>
              <w:jc w:val="left"/>
              <w:rPr/>
            </w:pPr>
            <w:r>
              <w:rPr/>
              <w:t>Signing Date Deliverable</w:t>
            </w:r>
          </w:p>
        </w:tc>
      </w:tr>
      <w:tr>
        <w:trPr>
          <w:trHeight w:val="120" w:hRule="atLeast"/>
        </w:trPr>
        <w:tc>
          <w:tcPr>
            <w:tcW w:w="3742" w:type="dxa"/>
            <w:tcBorders/>
            <w:vAlign w:val="center"/>
          </w:tcPr>
          <w:p>
            <w:pPr>
              <w:pStyle w:val="TableContents"/>
              <w:bidi w:val="0"/>
              <w:spacing w:before="0" w:after="283"/>
              <w:jc w:val="left"/>
              <w:rPr>
                <w:sz w:val="4"/>
                <w:szCs w:val="4"/>
              </w:rPr>
            </w:pPr>
            <w:r>
              <w:rPr>
                <w:sz w:val="4"/>
                <w:szCs w:val="4"/>
              </w:rPr>
            </w:r>
          </w:p>
        </w:tc>
        <w:tc>
          <w:tcPr>
            <w:tcW w:w="1409" w:type="dxa"/>
            <w:gridSpan w:val="2"/>
            <w:tcBorders/>
            <w:vAlign w:val="center"/>
          </w:tcPr>
          <w:p>
            <w:pPr>
              <w:pStyle w:val="TableContents"/>
              <w:bidi w:val="0"/>
              <w:spacing w:before="0" w:after="283"/>
              <w:jc w:val="left"/>
              <w:rPr>
                <w:sz w:val="4"/>
                <w:szCs w:val="4"/>
              </w:rPr>
            </w:pPr>
            <w:r>
              <w:rPr>
                <w:sz w:val="4"/>
                <w:szCs w:val="4"/>
              </w:rPr>
            </w:r>
          </w:p>
        </w:tc>
        <w:tc>
          <w:tcPr>
            <w:tcW w:w="2490" w:type="dxa"/>
            <w:gridSpan w:val="2"/>
            <w:tcBorders/>
            <w:vAlign w:val="center"/>
          </w:tcPr>
          <w:p>
            <w:pPr>
              <w:pStyle w:val="TableContents"/>
              <w:bidi w:val="0"/>
              <w:spacing w:before="0" w:after="283"/>
              <w:jc w:val="left"/>
              <w:rPr>
                <w:sz w:val="4"/>
                <w:szCs w:val="4"/>
              </w:rPr>
            </w:pPr>
            <w:r>
              <w:rPr>
                <w:sz w:val="4"/>
                <w:szCs w:val="4"/>
              </w:rPr>
            </w:r>
          </w:p>
        </w:tc>
        <w:tc>
          <w:tcPr>
            <w:tcW w:w="2564" w:type="dxa"/>
            <w:gridSpan w:val="2"/>
            <w:tcBorders/>
            <w:vAlign w:val="center"/>
          </w:tcPr>
          <w:p>
            <w:pPr>
              <w:pStyle w:val="TableContents"/>
              <w:bidi w:val="0"/>
              <w:spacing w:before="0" w:after="283"/>
              <w:jc w:val="left"/>
              <w:rPr>
                <w:sz w:val="4"/>
                <w:szCs w:val="4"/>
              </w:rPr>
            </w:pPr>
            <w:r>
              <w:rPr>
                <w:sz w:val="4"/>
                <w:szCs w:val="4"/>
              </w:rPr>
            </w:r>
          </w:p>
        </w:tc>
      </w:tr>
      <w:tr>
        <w:trPr/>
        <w:tc>
          <w:tcPr>
            <w:tcW w:w="3742" w:type="dxa"/>
            <w:tcBorders/>
          </w:tcPr>
          <w:p>
            <w:pPr>
              <w:pStyle w:val="TableContents"/>
              <w:bidi w:val="0"/>
              <w:spacing w:before="0" w:after="0"/>
              <w:jc w:val="left"/>
              <w:rPr>
                <w:rFonts w:ascii="Times New Roman" w:hAnsi="Times New Roman"/>
                <w:sz w:val="20"/>
              </w:rPr>
            </w:pPr>
            <w:r>
              <w:rPr>
                <w:rFonts w:ascii="Times New Roman" w:hAnsi="Times New Roman"/>
                <w:sz w:val="20"/>
              </w:rPr>
              <w:t>12.  Class B Lender Fee Letter</w:t>
            </w:r>
          </w:p>
        </w:tc>
        <w:tc>
          <w:tcPr>
            <w:tcW w:w="124" w:type="dxa"/>
            <w:tcBorders/>
            <w:vAlign w:val="bottom"/>
          </w:tcPr>
          <w:p>
            <w:pPr>
              <w:pStyle w:val="TableContents"/>
              <w:bidi w:val="0"/>
              <w:spacing w:before="0" w:after="283"/>
              <w:jc w:val="left"/>
              <w:rPr/>
            </w:pPr>
            <w:r>
              <w:rPr/>
              <w:t>  </w:t>
            </w:r>
          </w:p>
        </w:tc>
        <w:tc>
          <w:tcPr>
            <w:tcW w:w="1285" w:type="dxa"/>
            <w:tcBorders/>
          </w:tcPr>
          <w:p>
            <w:pPr>
              <w:pStyle w:val="TableContents"/>
              <w:bidi w:val="0"/>
              <w:spacing w:before="0" w:after="283"/>
              <w:jc w:val="left"/>
              <w:rPr/>
            </w:pPr>
            <w:r>
              <w:rPr/>
              <w:t>PW</w:t>
            </w:r>
          </w:p>
        </w:tc>
        <w:tc>
          <w:tcPr>
            <w:tcW w:w="124" w:type="dxa"/>
            <w:tcBorders/>
            <w:vAlign w:val="bottom"/>
          </w:tcPr>
          <w:p>
            <w:pPr>
              <w:pStyle w:val="TableContents"/>
              <w:bidi w:val="0"/>
              <w:spacing w:before="0" w:after="283"/>
              <w:jc w:val="left"/>
              <w:rPr/>
            </w:pPr>
            <w:r>
              <w:rPr/>
              <w:t>  </w:t>
            </w:r>
          </w:p>
        </w:tc>
        <w:tc>
          <w:tcPr>
            <w:tcW w:w="2366" w:type="dxa"/>
            <w:tcBorders/>
          </w:tcPr>
          <w:p>
            <w:pPr>
              <w:pStyle w:val="TableContents"/>
              <w:bidi w:val="0"/>
              <w:spacing w:before="0" w:after="0"/>
              <w:jc w:val="left"/>
              <w:rPr/>
            </w:pPr>
            <w:r>
              <w:rPr/>
              <w:t xml:space="preserve">☐ </w:t>
            </w:r>
            <w:r>
              <w:rPr>
                <w:rFonts w:ascii="Times New Roman" w:hAnsi="Times New Roman"/>
                <w:sz w:val="20"/>
              </w:rPr>
              <w:t>SPE</w:t>
            </w:r>
          </w:p>
          <w:p>
            <w:pPr>
              <w:pStyle w:val="TableContents"/>
              <w:bidi w:val="0"/>
              <w:spacing w:before="0" w:after="0"/>
              <w:jc w:val="left"/>
              <w:rPr/>
            </w:pPr>
            <w:r>
              <w:rPr/>
              <w:t xml:space="preserve">☐ </w:t>
            </w:r>
            <w:r>
              <w:rPr>
                <w:rFonts w:ascii="Times New Roman" w:hAnsi="Times New Roman"/>
                <w:sz w:val="20"/>
              </w:rPr>
              <w:t>Servicers</w:t>
            </w:r>
          </w:p>
          <w:p>
            <w:pPr>
              <w:pStyle w:val="TableContents"/>
              <w:bidi w:val="0"/>
              <w:spacing w:before="0" w:after="20"/>
              <w:jc w:val="left"/>
              <w:rPr/>
            </w:pPr>
            <w:r>
              <w:rPr/>
              <w:t xml:space="preserve">☐ </w:t>
            </w:r>
            <w:r>
              <w:rPr>
                <w:rFonts w:ascii="Times New Roman" w:hAnsi="Times New Roman"/>
                <w:sz w:val="20"/>
              </w:rPr>
              <w:t>Class B Lenders</w:t>
            </w:r>
          </w:p>
        </w:tc>
        <w:tc>
          <w:tcPr>
            <w:tcW w:w="124" w:type="dxa"/>
            <w:tcBorders/>
            <w:vAlign w:val="bottom"/>
          </w:tcPr>
          <w:p>
            <w:pPr>
              <w:pStyle w:val="TableContents"/>
              <w:bidi w:val="0"/>
              <w:spacing w:before="0" w:after="283"/>
              <w:jc w:val="left"/>
              <w:rPr/>
            </w:pPr>
            <w:r>
              <w:rPr/>
              <w:t>  </w:t>
            </w:r>
          </w:p>
        </w:tc>
        <w:tc>
          <w:tcPr>
            <w:tcW w:w="2440" w:type="dxa"/>
            <w:tcBorders/>
          </w:tcPr>
          <w:p>
            <w:pPr>
              <w:pStyle w:val="TableContents"/>
              <w:bidi w:val="0"/>
              <w:spacing w:before="0" w:after="283"/>
              <w:jc w:val="left"/>
              <w:rPr/>
            </w:pPr>
            <w:r>
              <w:rPr/>
              <w:t>Signing Date Deliverable</w:t>
            </w:r>
          </w:p>
        </w:tc>
      </w:tr>
      <w:tr>
        <w:trPr>
          <w:trHeight w:val="120" w:hRule="atLeast"/>
        </w:trPr>
        <w:tc>
          <w:tcPr>
            <w:tcW w:w="3742" w:type="dxa"/>
            <w:tcBorders/>
            <w:vAlign w:val="center"/>
          </w:tcPr>
          <w:p>
            <w:pPr>
              <w:pStyle w:val="TableContents"/>
              <w:bidi w:val="0"/>
              <w:spacing w:before="0" w:after="283"/>
              <w:jc w:val="left"/>
              <w:rPr>
                <w:sz w:val="4"/>
                <w:szCs w:val="4"/>
              </w:rPr>
            </w:pPr>
            <w:r>
              <w:rPr>
                <w:sz w:val="4"/>
                <w:szCs w:val="4"/>
              </w:rPr>
            </w:r>
          </w:p>
        </w:tc>
        <w:tc>
          <w:tcPr>
            <w:tcW w:w="1409" w:type="dxa"/>
            <w:gridSpan w:val="2"/>
            <w:tcBorders/>
            <w:vAlign w:val="center"/>
          </w:tcPr>
          <w:p>
            <w:pPr>
              <w:pStyle w:val="TableContents"/>
              <w:bidi w:val="0"/>
              <w:spacing w:before="0" w:after="283"/>
              <w:jc w:val="left"/>
              <w:rPr>
                <w:sz w:val="4"/>
                <w:szCs w:val="4"/>
              </w:rPr>
            </w:pPr>
            <w:r>
              <w:rPr>
                <w:sz w:val="4"/>
                <w:szCs w:val="4"/>
              </w:rPr>
            </w:r>
          </w:p>
        </w:tc>
        <w:tc>
          <w:tcPr>
            <w:tcW w:w="2490" w:type="dxa"/>
            <w:gridSpan w:val="2"/>
            <w:tcBorders/>
            <w:vAlign w:val="center"/>
          </w:tcPr>
          <w:p>
            <w:pPr>
              <w:pStyle w:val="TableContents"/>
              <w:bidi w:val="0"/>
              <w:spacing w:before="0" w:after="283"/>
              <w:jc w:val="left"/>
              <w:rPr>
                <w:sz w:val="4"/>
                <w:szCs w:val="4"/>
              </w:rPr>
            </w:pPr>
            <w:r>
              <w:rPr>
                <w:sz w:val="4"/>
                <w:szCs w:val="4"/>
              </w:rPr>
            </w:r>
          </w:p>
        </w:tc>
        <w:tc>
          <w:tcPr>
            <w:tcW w:w="2564" w:type="dxa"/>
            <w:gridSpan w:val="2"/>
            <w:tcBorders/>
            <w:vAlign w:val="center"/>
          </w:tcPr>
          <w:p>
            <w:pPr>
              <w:pStyle w:val="TableContents"/>
              <w:bidi w:val="0"/>
              <w:spacing w:before="0" w:after="283"/>
              <w:jc w:val="left"/>
              <w:rPr>
                <w:sz w:val="4"/>
                <w:szCs w:val="4"/>
              </w:rPr>
            </w:pPr>
            <w:r>
              <w:rPr>
                <w:sz w:val="4"/>
                <w:szCs w:val="4"/>
              </w:rPr>
            </w:r>
          </w:p>
        </w:tc>
      </w:tr>
      <w:tr>
        <w:trPr/>
        <w:tc>
          <w:tcPr>
            <w:tcW w:w="3742" w:type="dxa"/>
            <w:tcBorders/>
          </w:tcPr>
          <w:p>
            <w:pPr>
              <w:pStyle w:val="TableContents"/>
              <w:bidi w:val="0"/>
              <w:spacing w:before="0" w:after="0"/>
              <w:jc w:val="left"/>
              <w:rPr>
                <w:rFonts w:ascii="Times New Roman" w:hAnsi="Times New Roman"/>
                <w:sz w:val="20"/>
              </w:rPr>
            </w:pPr>
            <w:r>
              <w:rPr>
                <w:rFonts w:ascii="Times New Roman" w:hAnsi="Times New Roman"/>
                <w:sz w:val="20"/>
              </w:rPr>
              <w:t>13.  Novation or Assignment Agreement (or similar) transferring “ownership” of each Collection Account to the SPE</w:t>
            </w:r>
          </w:p>
        </w:tc>
        <w:tc>
          <w:tcPr>
            <w:tcW w:w="124" w:type="dxa"/>
            <w:tcBorders/>
            <w:vAlign w:val="bottom"/>
          </w:tcPr>
          <w:p>
            <w:pPr>
              <w:pStyle w:val="TableContents"/>
              <w:bidi w:val="0"/>
              <w:spacing w:before="0" w:after="283"/>
              <w:jc w:val="left"/>
              <w:rPr/>
            </w:pPr>
            <w:r>
              <w:rPr/>
              <w:t>  </w:t>
            </w:r>
          </w:p>
        </w:tc>
        <w:tc>
          <w:tcPr>
            <w:tcW w:w="1285" w:type="dxa"/>
            <w:tcBorders/>
          </w:tcPr>
          <w:p>
            <w:pPr>
              <w:pStyle w:val="TableContents"/>
              <w:bidi w:val="0"/>
              <w:spacing w:before="0" w:after="283"/>
              <w:jc w:val="left"/>
              <w:rPr/>
            </w:pPr>
            <w:r>
              <w:rPr/>
              <w:t>Sabre / Sabre Counsel</w:t>
            </w:r>
          </w:p>
        </w:tc>
        <w:tc>
          <w:tcPr>
            <w:tcW w:w="124" w:type="dxa"/>
            <w:tcBorders/>
            <w:vAlign w:val="bottom"/>
          </w:tcPr>
          <w:p>
            <w:pPr>
              <w:pStyle w:val="TableContents"/>
              <w:bidi w:val="0"/>
              <w:spacing w:before="0" w:after="283"/>
              <w:jc w:val="left"/>
              <w:rPr/>
            </w:pPr>
            <w:r>
              <w:rPr/>
              <w:t>  </w:t>
            </w:r>
          </w:p>
        </w:tc>
        <w:tc>
          <w:tcPr>
            <w:tcW w:w="2366" w:type="dxa"/>
            <w:tcBorders/>
          </w:tcPr>
          <w:p>
            <w:pPr>
              <w:pStyle w:val="TableContents"/>
              <w:bidi w:val="0"/>
              <w:spacing w:before="0" w:after="0"/>
              <w:jc w:val="left"/>
              <w:rPr/>
            </w:pPr>
            <w:r>
              <w:rPr/>
              <w:t xml:space="preserve">☐ </w:t>
            </w:r>
            <w:r>
              <w:rPr>
                <w:rFonts w:ascii="Times New Roman" w:hAnsi="Times New Roman"/>
                <w:sz w:val="20"/>
              </w:rPr>
              <w:t>SPE</w:t>
            </w:r>
          </w:p>
          <w:p>
            <w:pPr>
              <w:pStyle w:val="TableContents"/>
              <w:bidi w:val="0"/>
              <w:spacing w:before="0" w:after="0"/>
              <w:jc w:val="left"/>
              <w:rPr/>
            </w:pPr>
            <w:r>
              <w:rPr/>
              <w:t xml:space="preserve">☐ </w:t>
            </w:r>
            <w:r>
              <w:rPr>
                <w:rFonts w:ascii="Times New Roman" w:hAnsi="Times New Roman"/>
                <w:sz w:val="20"/>
              </w:rPr>
              <w:t>[SG Originator]</w:t>
            </w:r>
          </w:p>
          <w:p>
            <w:pPr>
              <w:pStyle w:val="TableContents"/>
              <w:bidi w:val="0"/>
              <w:spacing w:before="0" w:after="20"/>
              <w:jc w:val="left"/>
              <w:rPr/>
            </w:pPr>
            <w:r>
              <w:rPr/>
              <w:t xml:space="preserve">☐ </w:t>
            </w:r>
            <w:r>
              <w:rPr>
                <w:rFonts w:ascii="Times New Roman" w:hAnsi="Times New Roman"/>
                <w:sz w:val="20"/>
              </w:rPr>
              <w:t>SG Collection Account Bank</w:t>
            </w:r>
          </w:p>
        </w:tc>
        <w:tc>
          <w:tcPr>
            <w:tcW w:w="124" w:type="dxa"/>
            <w:tcBorders/>
            <w:vAlign w:val="bottom"/>
          </w:tcPr>
          <w:p>
            <w:pPr>
              <w:pStyle w:val="TableContents"/>
              <w:bidi w:val="0"/>
              <w:spacing w:before="0" w:after="283"/>
              <w:jc w:val="left"/>
              <w:rPr/>
            </w:pPr>
            <w:r>
              <w:rPr/>
              <w:t>  </w:t>
            </w:r>
          </w:p>
        </w:tc>
        <w:tc>
          <w:tcPr>
            <w:tcW w:w="2440" w:type="dxa"/>
            <w:tcBorders/>
          </w:tcPr>
          <w:p>
            <w:pPr>
              <w:pStyle w:val="TableContents"/>
              <w:bidi w:val="0"/>
              <w:spacing w:before="0" w:after="283"/>
              <w:jc w:val="left"/>
              <w:rPr/>
            </w:pPr>
            <w:r>
              <w:rPr/>
              <w:t>Effective Date Deliverable</w:t>
            </w:r>
          </w:p>
        </w:tc>
      </w:tr>
      <w:tr>
        <w:trPr>
          <w:trHeight w:val="120" w:hRule="atLeast"/>
        </w:trPr>
        <w:tc>
          <w:tcPr>
            <w:tcW w:w="3742" w:type="dxa"/>
            <w:tcBorders/>
            <w:vAlign w:val="center"/>
          </w:tcPr>
          <w:p>
            <w:pPr>
              <w:pStyle w:val="TableContents"/>
              <w:bidi w:val="0"/>
              <w:spacing w:before="0" w:after="283"/>
              <w:jc w:val="left"/>
              <w:rPr>
                <w:sz w:val="4"/>
                <w:szCs w:val="4"/>
              </w:rPr>
            </w:pPr>
            <w:r>
              <w:rPr>
                <w:sz w:val="4"/>
                <w:szCs w:val="4"/>
              </w:rPr>
            </w:r>
          </w:p>
        </w:tc>
        <w:tc>
          <w:tcPr>
            <w:tcW w:w="1409" w:type="dxa"/>
            <w:gridSpan w:val="2"/>
            <w:tcBorders/>
            <w:vAlign w:val="center"/>
          </w:tcPr>
          <w:p>
            <w:pPr>
              <w:pStyle w:val="TableContents"/>
              <w:bidi w:val="0"/>
              <w:spacing w:before="0" w:after="283"/>
              <w:jc w:val="left"/>
              <w:rPr>
                <w:sz w:val="4"/>
                <w:szCs w:val="4"/>
              </w:rPr>
            </w:pPr>
            <w:r>
              <w:rPr>
                <w:sz w:val="4"/>
                <w:szCs w:val="4"/>
              </w:rPr>
            </w:r>
          </w:p>
        </w:tc>
        <w:tc>
          <w:tcPr>
            <w:tcW w:w="2490" w:type="dxa"/>
            <w:gridSpan w:val="2"/>
            <w:tcBorders/>
            <w:vAlign w:val="center"/>
          </w:tcPr>
          <w:p>
            <w:pPr>
              <w:pStyle w:val="TableContents"/>
              <w:bidi w:val="0"/>
              <w:spacing w:before="0" w:after="283"/>
              <w:jc w:val="left"/>
              <w:rPr>
                <w:sz w:val="4"/>
                <w:szCs w:val="4"/>
              </w:rPr>
            </w:pPr>
            <w:r>
              <w:rPr>
                <w:sz w:val="4"/>
                <w:szCs w:val="4"/>
              </w:rPr>
            </w:r>
          </w:p>
        </w:tc>
        <w:tc>
          <w:tcPr>
            <w:tcW w:w="2564" w:type="dxa"/>
            <w:gridSpan w:val="2"/>
            <w:tcBorders/>
            <w:vAlign w:val="center"/>
          </w:tcPr>
          <w:p>
            <w:pPr>
              <w:pStyle w:val="TableContents"/>
              <w:bidi w:val="0"/>
              <w:spacing w:before="0" w:after="283"/>
              <w:jc w:val="left"/>
              <w:rPr>
                <w:sz w:val="4"/>
                <w:szCs w:val="4"/>
              </w:rPr>
            </w:pPr>
            <w:r>
              <w:rPr>
                <w:sz w:val="4"/>
                <w:szCs w:val="4"/>
              </w:rPr>
            </w:r>
          </w:p>
        </w:tc>
      </w:tr>
      <w:tr>
        <w:trPr/>
        <w:tc>
          <w:tcPr>
            <w:tcW w:w="3742" w:type="dxa"/>
            <w:tcBorders/>
          </w:tcPr>
          <w:p>
            <w:pPr>
              <w:pStyle w:val="TableContents"/>
              <w:bidi w:val="0"/>
              <w:spacing w:before="0" w:after="0"/>
              <w:jc w:val="left"/>
              <w:rPr>
                <w:rFonts w:ascii="Times New Roman" w:hAnsi="Times New Roman"/>
                <w:sz w:val="20"/>
              </w:rPr>
            </w:pPr>
            <w:r>
              <w:rPr>
                <w:rFonts w:ascii="Times New Roman" w:hAnsi="Times New Roman"/>
                <w:sz w:val="20"/>
              </w:rPr>
              <w:t>14.  Deposit Account Control Agreement (Springing Agreement) covering each Collection Account in the Singapore</w:t>
            </w:r>
          </w:p>
        </w:tc>
        <w:tc>
          <w:tcPr>
            <w:tcW w:w="124" w:type="dxa"/>
            <w:tcBorders/>
            <w:vAlign w:val="bottom"/>
          </w:tcPr>
          <w:p>
            <w:pPr>
              <w:pStyle w:val="TableContents"/>
              <w:bidi w:val="0"/>
              <w:spacing w:before="0" w:after="283"/>
              <w:jc w:val="left"/>
              <w:rPr/>
            </w:pPr>
            <w:r>
              <w:rPr/>
              <w:t>  </w:t>
            </w:r>
          </w:p>
        </w:tc>
        <w:tc>
          <w:tcPr>
            <w:tcW w:w="1285" w:type="dxa"/>
            <w:tcBorders/>
          </w:tcPr>
          <w:p>
            <w:pPr>
              <w:pStyle w:val="TableContents"/>
              <w:bidi w:val="0"/>
              <w:spacing w:before="0" w:after="283"/>
              <w:jc w:val="left"/>
              <w:rPr/>
            </w:pPr>
            <w:r>
              <w:rPr/>
              <w:t>PNC/MB</w:t>
            </w:r>
          </w:p>
        </w:tc>
        <w:tc>
          <w:tcPr>
            <w:tcW w:w="124" w:type="dxa"/>
            <w:tcBorders/>
            <w:vAlign w:val="bottom"/>
          </w:tcPr>
          <w:p>
            <w:pPr>
              <w:pStyle w:val="TableContents"/>
              <w:bidi w:val="0"/>
              <w:spacing w:before="0" w:after="283"/>
              <w:jc w:val="left"/>
              <w:rPr/>
            </w:pPr>
            <w:r>
              <w:rPr/>
              <w:t>  </w:t>
            </w:r>
          </w:p>
        </w:tc>
        <w:tc>
          <w:tcPr>
            <w:tcW w:w="2366" w:type="dxa"/>
            <w:tcBorders/>
          </w:tcPr>
          <w:p>
            <w:pPr>
              <w:pStyle w:val="TableContents"/>
              <w:bidi w:val="0"/>
              <w:spacing w:before="0" w:after="0"/>
              <w:jc w:val="left"/>
              <w:rPr/>
            </w:pPr>
            <w:r>
              <w:rPr/>
              <w:t xml:space="preserve">☐ </w:t>
            </w:r>
            <w:r>
              <w:rPr>
                <w:rFonts w:ascii="Times New Roman" w:hAnsi="Times New Roman"/>
                <w:sz w:val="20"/>
              </w:rPr>
              <w:t>SPE</w:t>
            </w:r>
          </w:p>
          <w:p>
            <w:pPr>
              <w:pStyle w:val="TableContents"/>
              <w:bidi w:val="0"/>
              <w:spacing w:before="0" w:after="0"/>
              <w:jc w:val="left"/>
              <w:rPr/>
            </w:pPr>
            <w:r>
              <w:rPr/>
              <w:t xml:space="preserve">☐ </w:t>
            </w:r>
            <w:r>
              <w:rPr>
                <w:rFonts w:ascii="Times New Roman" w:hAnsi="Times New Roman"/>
                <w:sz w:val="20"/>
              </w:rPr>
              <w:t>SG Servicer</w:t>
            </w:r>
          </w:p>
          <w:p>
            <w:pPr>
              <w:pStyle w:val="TableContents"/>
              <w:bidi w:val="0"/>
              <w:spacing w:before="0" w:after="0"/>
              <w:jc w:val="left"/>
              <w:rPr/>
            </w:pPr>
            <w:r>
              <w:rPr/>
              <w:t>☐</w:t>
            </w:r>
            <w:r>
              <w:rPr>
                <w:rFonts w:ascii="Times New Roman" w:hAnsi="Times New Roman"/>
                <w:sz w:val="20"/>
              </w:rPr>
              <w:t>Administrative Agent</w:t>
            </w:r>
          </w:p>
          <w:p>
            <w:pPr>
              <w:pStyle w:val="TableContents"/>
              <w:bidi w:val="0"/>
              <w:spacing w:before="0" w:after="20"/>
              <w:jc w:val="left"/>
              <w:rPr/>
            </w:pPr>
            <w:r>
              <w:rPr/>
              <w:t xml:space="preserve">☐ </w:t>
            </w:r>
            <w:r>
              <w:rPr>
                <w:rFonts w:ascii="Times New Roman" w:hAnsi="Times New Roman"/>
                <w:sz w:val="20"/>
              </w:rPr>
              <w:t>SG Collection Account Bank</w:t>
            </w:r>
          </w:p>
        </w:tc>
        <w:tc>
          <w:tcPr>
            <w:tcW w:w="124" w:type="dxa"/>
            <w:tcBorders/>
            <w:vAlign w:val="bottom"/>
          </w:tcPr>
          <w:p>
            <w:pPr>
              <w:pStyle w:val="TableContents"/>
              <w:bidi w:val="0"/>
              <w:spacing w:before="0" w:after="283"/>
              <w:jc w:val="left"/>
              <w:rPr/>
            </w:pPr>
            <w:r>
              <w:rPr/>
              <w:t>  </w:t>
            </w:r>
          </w:p>
        </w:tc>
        <w:tc>
          <w:tcPr>
            <w:tcW w:w="2440" w:type="dxa"/>
            <w:tcBorders/>
          </w:tcPr>
          <w:p>
            <w:pPr>
              <w:pStyle w:val="TableContents"/>
              <w:bidi w:val="0"/>
              <w:spacing w:before="0" w:after="283"/>
              <w:jc w:val="left"/>
              <w:rPr/>
            </w:pPr>
            <w:r>
              <w:rPr/>
              <w:t>Effective Date Deliverable</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tcPr>
          <w:p>
            <w:pPr>
              <w:pStyle w:val="TableContents"/>
              <w:bidi w:val="0"/>
              <w:spacing w:before="0" w:after="0"/>
              <w:jc w:val="left"/>
              <w:rPr>
                <w:rFonts w:ascii="Times New Roman" w:hAnsi="Times New Roman"/>
                <w:b/>
                <w:sz w:val="20"/>
              </w:rPr>
            </w:pPr>
            <w:r>
              <w:rPr>
                <w:rFonts w:ascii="Times New Roman" w:hAnsi="Times New Roman"/>
                <w:b/>
                <w:sz w:val="20"/>
              </w:rPr>
              <w:t>B. SECURITITY INTEREST / UCC FILING DOCUMENTATION</w:t>
            </w:r>
          </w:p>
        </w:tc>
      </w:tr>
      <w:tr>
        <w:trPr>
          <w:trHeight w:val="120" w:hRule="atLeast"/>
        </w:trPr>
        <w:tc>
          <w:tcPr>
            <w:tcW w:w="3742" w:type="dxa"/>
            <w:tcBorders/>
            <w:vAlign w:val="center"/>
          </w:tcPr>
          <w:p>
            <w:pPr>
              <w:pStyle w:val="TableContents"/>
              <w:bidi w:val="0"/>
              <w:spacing w:before="0" w:after="283"/>
              <w:jc w:val="left"/>
              <w:rPr>
                <w:sz w:val="4"/>
                <w:szCs w:val="4"/>
              </w:rPr>
            </w:pPr>
            <w:r>
              <w:rPr>
                <w:sz w:val="4"/>
                <w:szCs w:val="4"/>
              </w:rPr>
            </w:r>
          </w:p>
        </w:tc>
        <w:tc>
          <w:tcPr>
            <w:tcW w:w="1409" w:type="dxa"/>
            <w:gridSpan w:val="2"/>
            <w:tcBorders/>
            <w:vAlign w:val="center"/>
          </w:tcPr>
          <w:p>
            <w:pPr>
              <w:pStyle w:val="TableContents"/>
              <w:bidi w:val="0"/>
              <w:spacing w:before="0" w:after="283"/>
              <w:jc w:val="left"/>
              <w:rPr>
                <w:sz w:val="4"/>
                <w:szCs w:val="4"/>
              </w:rPr>
            </w:pPr>
            <w:r>
              <w:rPr>
                <w:sz w:val="4"/>
                <w:szCs w:val="4"/>
              </w:rPr>
            </w:r>
          </w:p>
        </w:tc>
        <w:tc>
          <w:tcPr>
            <w:tcW w:w="2490" w:type="dxa"/>
            <w:gridSpan w:val="2"/>
            <w:tcBorders/>
            <w:vAlign w:val="center"/>
          </w:tcPr>
          <w:p>
            <w:pPr>
              <w:pStyle w:val="TableContents"/>
              <w:bidi w:val="0"/>
              <w:spacing w:before="0" w:after="283"/>
              <w:jc w:val="left"/>
              <w:rPr>
                <w:sz w:val="4"/>
                <w:szCs w:val="4"/>
              </w:rPr>
            </w:pPr>
            <w:r>
              <w:rPr>
                <w:sz w:val="4"/>
                <w:szCs w:val="4"/>
              </w:rPr>
            </w:r>
          </w:p>
        </w:tc>
        <w:tc>
          <w:tcPr>
            <w:tcW w:w="2564" w:type="dxa"/>
            <w:gridSpan w:val="2"/>
            <w:tcBorders/>
            <w:vAlign w:val="center"/>
          </w:tcPr>
          <w:p>
            <w:pPr>
              <w:pStyle w:val="TableContents"/>
              <w:bidi w:val="0"/>
              <w:spacing w:before="0" w:after="283"/>
              <w:jc w:val="left"/>
              <w:rPr>
                <w:sz w:val="4"/>
                <w:szCs w:val="4"/>
              </w:rPr>
            </w:pPr>
            <w:r>
              <w:rPr>
                <w:sz w:val="4"/>
                <w:szCs w:val="4"/>
              </w:rPr>
            </w:r>
          </w:p>
        </w:tc>
      </w:tr>
      <w:tr>
        <w:trPr/>
        <w:tc>
          <w:tcPr>
            <w:tcW w:w="3742" w:type="dxa"/>
            <w:tcBorders/>
          </w:tcPr>
          <w:p>
            <w:pPr>
              <w:pStyle w:val="TableContents"/>
              <w:bidi w:val="0"/>
              <w:spacing w:before="0" w:after="0"/>
              <w:jc w:val="left"/>
              <w:rPr>
                <w:rFonts w:ascii="Times New Roman" w:hAnsi="Times New Roman"/>
                <w:sz w:val="20"/>
              </w:rPr>
            </w:pPr>
            <w:r>
              <w:rPr>
                <w:rFonts w:ascii="Times New Roman" w:hAnsi="Times New Roman"/>
                <w:sz w:val="20"/>
              </w:rPr>
              <w:t>15.  Company search with respect to any charges registered with respect to SG Originator in Singapore</w:t>
            </w:r>
          </w:p>
        </w:tc>
        <w:tc>
          <w:tcPr>
            <w:tcW w:w="124" w:type="dxa"/>
            <w:tcBorders/>
            <w:vAlign w:val="bottom"/>
          </w:tcPr>
          <w:p>
            <w:pPr>
              <w:pStyle w:val="TableContents"/>
              <w:bidi w:val="0"/>
              <w:spacing w:before="0" w:after="283"/>
              <w:jc w:val="left"/>
              <w:rPr/>
            </w:pPr>
            <w:r>
              <w:rPr/>
              <w:t>  </w:t>
            </w:r>
          </w:p>
        </w:tc>
        <w:tc>
          <w:tcPr>
            <w:tcW w:w="1285" w:type="dxa"/>
            <w:tcBorders/>
          </w:tcPr>
          <w:p>
            <w:pPr>
              <w:pStyle w:val="TableContents"/>
              <w:bidi w:val="0"/>
              <w:spacing w:before="0" w:after="283"/>
              <w:jc w:val="left"/>
              <w:rPr/>
            </w:pPr>
            <w:r>
              <w:rPr/>
              <w:t>MB (SG)</w:t>
            </w:r>
          </w:p>
        </w:tc>
        <w:tc>
          <w:tcPr>
            <w:tcW w:w="124" w:type="dxa"/>
            <w:tcBorders/>
            <w:vAlign w:val="bottom"/>
          </w:tcPr>
          <w:p>
            <w:pPr>
              <w:pStyle w:val="TableContents"/>
              <w:bidi w:val="0"/>
              <w:spacing w:before="0" w:after="283"/>
              <w:jc w:val="left"/>
              <w:rPr/>
            </w:pPr>
            <w:r>
              <w:rPr/>
              <w:t>  </w:t>
            </w:r>
          </w:p>
        </w:tc>
        <w:tc>
          <w:tcPr>
            <w:tcW w:w="2366" w:type="dxa"/>
            <w:tcBorders/>
          </w:tcPr>
          <w:p>
            <w:pPr>
              <w:pStyle w:val="TableContents"/>
              <w:bidi w:val="0"/>
              <w:spacing w:before="0" w:after="283"/>
              <w:jc w:val="left"/>
              <w:rPr/>
            </w:pPr>
            <w:r>
              <w:rPr/>
              <w:t>N/A</w:t>
            </w:r>
          </w:p>
        </w:tc>
        <w:tc>
          <w:tcPr>
            <w:tcW w:w="124" w:type="dxa"/>
            <w:tcBorders/>
            <w:vAlign w:val="bottom"/>
          </w:tcPr>
          <w:p>
            <w:pPr>
              <w:pStyle w:val="TableContents"/>
              <w:bidi w:val="0"/>
              <w:spacing w:before="0" w:after="283"/>
              <w:jc w:val="left"/>
              <w:rPr/>
            </w:pPr>
            <w:r>
              <w:rPr/>
              <w:t>  </w:t>
            </w:r>
          </w:p>
        </w:tc>
        <w:tc>
          <w:tcPr>
            <w:tcW w:w="2440" w:type="dxa"/>
            <w:tcBorders/>
          </w:tcPr>
          <w:p>
            <w:pPr>
              <w:pStyle w:val="TableContents"/>
              <w:bidi w:val="0"/>
              <w:spacing w:before="0" w:after="283"/>
              <w:jc w:val="left"/>
              <w:rPr/>
            </w:pPr>
            <w:r>
              <w:rPr/>
              <w:t>Effective Date Deliverable</w:t>
            </w:r>
          </w:p>
        </w:tc>
      </w:tr>
      <w:tr>
        <w:trPr>
          <w:trHeight w:val="120" w:hRule="atLeast"/>
        </w:trPr>
        <w:tc>
          <w:tcPr>
            <w:tcW w:w="3742" w:type="dxa"/>
            <w:tcBorders/>
            <w:vAlign w:val="center"/>
          </w:tcPr>
          <w:p>
            <w:pPr>
              <w:pStyle w:val="TableContents"/>
              <w:bidi w:val="0"/>
              <w:spacing w:before="0" w:after="283"/>
              <w:jc w:val="left"/>
              <w:rPr>
                <w:sz w:val="4"/>
                <w:szCs w:val="4"/>
              </w:rPr>
            </w:pPr>
            <w:r>
              <w:rPr>
                <w:sz w:val="4"/>
                <w:szCs w:val="4"/>
              </w:rPr>
            </w:r>
          </w:p>
        </w:tc>
        <w:tc>
          <w:tcPr>
            <w:tcW w:w="1409" w:type="dxa"/>
            <w:gridSpan w:val="2"/>
            <w:tcBorders/>
            <w:vAlign w:val="center"/>
          </w:tcPr>
          <w:p>
            <w:pPr>
              <w:pStyle w:val="TableContents"/>
              <w:bidi w:val="0"/>
              <w:spacing w:before="0" w:after="283"/>
              <w:jc w:val="left"/>
              <w:rPr>
                <w:sz w:val="4"/>
                <w:szCs w:val="4"/>
              </w:rPr>
            </w:pPr>
            <w:r>
              <w:rPr>
                <w:sz w:val="4"/>
                <w:szCs w:val="4"/>
              </w:rPr>
            </w:r>
          </w:p>
        </w:tc>
        <w:tc>
          <w:tcPr>
            <w:tcW w:w="2490" w:type="dxa"/>
            <w:gridSpan w:val="2"/>
            <w:tcBorders/>
            <w:vAlign w:val="center"/>
          </w:tcPr>
          <w:p>
            <w:pPr>
              <w:pStyle w:val="TableContents"/>
              <w:bidi w:val="0"/>
              <w:spacing w:before="0" w:after="283"/>
              <w:jc w:val="left"/>
              <w:rPr>
                <w:sz w:val="4"/>
                <w:szCs w:val="4"/>
              </w:rPr>
            </w:pPr>
            <w:r>
              <w:rPr>
                <w:sz w:val="4"/>
                <w:szCs w:val="4"/>
              </w:rPr>
            </w:r>
          </w:p>
        </w:tc>
        <w:tc>
          <w:tcPr>
            <w:tcW w:w="2564" w:type="dxa"/>
            <w:gridSpan w:val="2"/>
            <w:tcBorders/>
            <w:vAlign w:val="center"/>
          </w:tcPr>
          <w:p>
            <w:pPr>
              <w:pStyle w:val="TableContents"/>
              <w:bidi w:val="0"/>
              <w:spacing w:before="0" w:after="283"/>
              <w:jc w:val="left"/>
              <w:rPr>
                <w:sz w:val="4"/>
                <w:szCs w:val="4"/>
              </w:rPr>
            </w:pPr>
            <w:r>
              <w:rPr>
                <w:sz w:val="4"/>
                <w:szCs w:val="4"/>
              </w:rPr>
            </w:r>
          </w:p>
        </w:tc>
      </w:tr>
      <w:tr>
        <w:trPr/>
        <w:tc>
          <w:tcPr>
            <w:tcW w:w="3742" w:type="dxa"/>
            <w:tcBorders/>
          </w:tcPr>
          <w:p>
            <w:pPr>
              <w:pStyle w:val="TableContents"/>
              <w:bidi w:val="0"/>
              <w:spacing w:before="0" w:after="0"/>
              <w:jc w:val="left"/>
              <w:rPr>
                <w:rFonts w:ascii="Times New Roman" w:hAnsi="Times New Roman"/>
                <w:sz w:val="20"/>
              </w:rPr>
            </w:pPr>
            <w:r>
              <w:rPr>
                <w:rFonts w:ascii="Times New Roman" w:hAnsi="Times New Roman"/>
                <w:sz w:val="20"/>
              </w:rPr>
              <w:t>16.  UCC, tax, bankruptcy and judgment lien searches against the SG Originator in Washington, D.C.</w:t>
            </w:r>
          </w:p>
        </w:tc>
        <w:tc>
          <w:tcPr>
            <w:tcW w:w="124" w:type="dxa"/>
            <w:tcBorders/>
            <w:vAlign w:val="bottom"/>
          </w:tcPr>
          <w:p>
            <w:pPr>
              <w:pStyle w:val="TableContents"/>
              <w:bidi w:val="0"/>
              <w:spacing w:before="0" w:after="283"/>
              <w:jc w:val="left"/>
              <w:rPr/>
            </w:pPr>
            <w:r>
              <w:rPr/>
              <w:t>  </w:t>
            </w:r>
          </w:p>
        </w:tc>
        <w:tc>
          <w:tcPr>
            <w:tcW w:w="1285" w:type="dxa"/>
            <w:tcBorders/>
          </w:tcPr>
          <w:p>
            <w:pPr>
              <w:pStyle w:val="TableContents"/>
              <w:bidi w:val="0"/>
              <w:spacing w:before="0" w:after="283"/>
              <w:jc w:val="left"/>
              <w:rPr/>
            </w:pPr>
            <w:r>
              <w:rPr/>
              <w:t>Sabre NY Counsel</w:t>
            </w:r>
          </w:p>
        </w:tc>
        <w:tc>
          <w:tcPr>
            <w:tcW w:w="124" w:type="dxa"/>
            <w:tcBorders/>
            <w:vAlign w:val="bottom"/>
          </w:tcPr>
          <w:p>
            <w:pPr>
              <w:pStyle w:val="TableContents"/>
              <w:bidi w:val="0"/>
              <w:spacing w:before="0" w:after="283"/>
              <w:jc w:val="left"/>
              <w:rPr/>
            </w:pPr>
            <w:r>
              <w:rPr/>
              <w:t>  </w:t>
            </w:r>
          </w:p>
        </w:tc>
        <w:tc>
          <w:tcPr>
            <w:tcW w:w="2366" w:type="dxa"/>
            <w:tcBorders/>
          </w:tcPr>
          <w:p>
            <w:pPr>
              <w:pStyle w:val="TableContents"/>
              <w:bidi w:val="0"/>
              <w:spacing w:before="0" w:after="283"/>
              <w:jc w:val="left"/>
              <w:rPr/>
            </w:pPr>
            <w:r>
              <w:rPr/>
              <w:t>N/A</w:t>
            </w:r>
          </w:p>
        </w:tc>
        <w:tc>
          <w:tcPr>
            <w:tcW w:w="124" w:type="dxa"/>
            <w:tcBorders/>
            <w:vAlign w:val="bottom"/>
          </w:tcPr>
          <w:p>
            <w:pPr>
              <w:pStyle w:val="TableContents"/>
              <w:bidi w:val="0"/>
              <w:spacing w:before="0" w:after="283"/>
              <w:jc w:val="left"/>
              <w:rPr/>
            </w:pPr>
            <w:r>
              <w:rPr/>
              <w:t>  </w:t>
            </w:r>
          </w:p>
        </w:tc>
        <w:tc>
          <w:tcPr>
            <w:tcW w:w="2440" w:type="dxa"/>
            <w:tcBorders/>
          </w:tcPr>
          <w:p>
            <w:pPr>
              <w:pStyle w:val="TableContents"/>
              <w:bidi w:val="0"/>
              <w:spacing w:before="0" w:after="283"/>
              <w:jc w:val="left"/>
              <w:rPr/>
            </w:pPr>
            <w:r>
              <w:rPr/>
              <w:t>Effective Date Deliverable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4649"/>
        <w:gridCol w:w="122"/>
        <w:gridCol w:w="862"/>
        <w:gridCol w:w="122"/>
        <w:gridCol w:w="2492"/>
        <w:gridCol w:w="122"/>
        <w:gridCol w:w="1836"/>
      </w:tblGrid>
      <w:tr>
        <w:trPr/>
        <w:tc>
          <w:tcPr>
            <w:tcW w:w="464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r>
      <w:tr>
        <w:trPr/>
        <w:tc>
          <w:tcPr>
            <w:tcW w:w="4649"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Document</w:t>
            </w:r>
          </w:p>
        </w:tc>
        <w:tc>
          <w:tcPr>
            <w:tcW w:w="122" w:type="dxa"/>
            <w:tcBorders/>
            <w:vAlign w:val="bottom"/>
          </w:tcPr>
          <w:p>
            <w:pPr>
              <w:pStyle w:val="TableContents"/>
              <w:bidi w:val="0"/>
              <w:spacing w:before="0" w:after="283"/>
              <w:jc w:val="left"/>
              <w:rPr/>
            </w:pPr>
            <w:r>
              <w:rPr/>
              <w:t>  </w:t>
            </w:r>
          </w:p>
        </w:tc>
        <w:tc>
          <w:tcPr>
            <w:tcW w:w="862"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Responsible</w:t>
            </w:r>
          </w:p>
          <w:p>
            <w:pPr>
              <w:pStyle w:val="TableContents"/>
              <w:bidi w:val="0"/>
              <w:spacing w:before="0" w:after="20"/>
              <w:jc w:val="center"/>
              <w:rPr>
                <w:rFonts w:ascii="Times New Roman" w:hAnsi="Times New Roman"/>
                <w:sz w:val="16"/>
              </w:rPr>
            </w:pPr>
            <w:r>
              <w:rPr>
                <w:rFonts w:ascii="Times New Roman" w:hAnsi="Times New Roman"/>
                <w:sz w:val="16"/>
              </w:rPr>
              <w:t>Party</w:t>
            </w:r>
          </w:p>
        </w:tc>
        <w:tc>
          <w:tcPr>
            <w:tcW w:w="122" w:type="dxa"/>
            <w:tcBorders/>
            <w:vAlign w:val="bottom"/>
          </w:tcPr>
          <w:p>
            <w:pPr>
              <w:pStyle w:val="TableContents"/>
              <w:bidi w:val="0"/>
              <w:spacing w:before="0" w:after="283"/>
              <w:jc w:val="left"/>
              <w:rPr/>
            </w:pPr>
            <w:r>
              <w:rPr/>
              <w:t>  </w:t>
            </w:r>
          </w:p>
        </w:tc>
        <w:tc>
          <w:tcPr>
            <w:tcW w:w="249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Signatures Needed</w:t>
            </w:r>
          </w:p>
        </w:tc>
        <w:tc>
          <w:tcPr>
            <w:tcW w:w="122" w:type="dxa"/>
            <w:tcBorders/>
            <w:vAlign w:val="bottom"/>
          </w:tcPr>
          <w:p>
            <w:pPr>
              <w:pStyle w:val="TableContents"/>
              <w:bidi w:val="0"/>
              <w:spacing w:before="0" w:after="283"/>
              <w:jc w:val="left"/>
              <w:rPr/>
            </w:pPr>
            <w:r>
              <w:rPr/>
              <w:t>  </w:t>
            </w:r>
          </w:p>
        </w:tc>
        <w:tc>
          <w:tcPr>
            <w:tcW w:w="183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Signing Date Deliverable</w:t>
            </w:r>
          </w:p>
          <w:p>
            <w:pPr>
              <w:pStyle w:val="TableContents"/>
              <w:bidi w:val="0"/>
              <w:spacing w:before="0" w:after="0"/>
              <w:jc w:val="center"/>
              <w:rPr>
                <w:rFonts w:ascii="Times New Roman" w:hAnsi="Times New Roman"/>
                <w:sz w:val="16"/>
              </w:rPr>
            </w:pPr>
            <w:r>
              <w:rPr>
                <w:rFonts w:ascii="Times New Roman" w:hAnsi="Times New Roman"/>
                <w:sz w:val="16"/>
              </w:rPr>
              <w:t>or Effective Date</w:t>
            </w:r>
          </w:p>
          <w:p>
            <w:pPr>
              <w:pStyle w:val="TableContents"/>
              <w:bidi w:val="0"/>
              <w:spacing w:before="0" w:after="20"/>
              <w:jc w:val="center"/>
              <w:rPr>
                <w:rFonts w:ascii="Times New Roman" w:hAnsi="Times New Roman"/>
                <w:sz w:val="16"/>
              </w:rPr>
            </w:pPr>
            <w:r>
              <w:rPr>
                <w:rFonts w:ascii="Times New Roman" w:hAnsi="Times New Roman"/>
                <w:sz w:val="16"/>
              </w:rPr>
              <w:t>Deliverable</w:t>
            </w:r>
          </w:p>
        </w:tc>
      </w:tr>
      <w:tr>
        <w:trPr/>
        <w:tc>
          <w:tcPr>
            <w:tcW w:w="4649" w:type="dxa"/>
            <w:tcBorders/>
          </w:tcPr>
          <w:p>
            <w:pPr>
              <w:pStyle w:val="TableContents"/>
              <w:bidi w:val="0"/>
              <w:spacing w:before="0" w:after="0"/>
              <w:jc w:val="left"/>
              <w:rPr>
                <w:rFonts w:ascii="Times New Roman" w:hAnsi="Times New Roman"/>
                <w:sz w:val="20"/>
              </w:rPr>
            </w:pPr>
            <w:r>
              <w:rPr>
                <w:rFonts w:ascii="Times New Roman" w:hAnsi="Times New Roman"/>
                <w:sz w:val="20"/>
              </w:rPr>
              <w:t>17.  UCC-1 Financing Statements naming the SG Originator as debtor/seller, SPE as buyer/assignor, and the Administrative Agent as secured party/assignee, for filing with the District of Columbia</w:t>
            </w:r>
          </w:p>
        </w:tc>
        <w:tc>
          <w:tcPr>
            <w:tcW w:w="122" w:type="dxa"/>
            <w:tcBorders/>
            <w:vAlign w:val="bottom"/>
          </w:tcPr>
          <w:p>
            <w:pPr>
              <w:pStyle w:val="TableContents"/>
              <w:bidi w:val="0"/>
              <w:spacing w:before="0" w:after="283"/>
              <w:jc w:val="left"/>
              <w:rPr/>
            </w:pPr>
            <w:r>
              <w:rPr/>
              <w:t>  </w:t>
            </w:r>
          </w:p>
        </w:tc>
        <w:tc>
          <w:tcPr>
            <w:tcW w:w="862" w:type="dxa"/>
            <w:tcBorders/>
          </w:tcPr>
          <w:p>
            <w:pPr>
              <w:pStyle w:val="TableContents"/>
              <w:bidi w:val="0"/>
              <w:spacing w:before="0" w:after="283"/>
              <w:jc w:val="left"/>
              <w:rPr/>
            </w:pPr>
            <w:r>
              <w:rPr/>
              <w:t>MB</w:t>
            </w:r>
          </w:p>
        </w:tc>
        <w:tc>
          <w:tcPr>
            <w:tcW w:w="122" w:type="dxa"/>
            <w:tcBorders/>
            <w:vAlign w:val="bottom"/>
          </w:tcPr>
          <w:p>
            <w:pPr>
              <w:pStyle w:val="TableContents"/>
              <w:bidi w:val="0"/>
              <w:spacing w:before="0" w:after="283"/>
              <w:jc w:val="left"/>
              <w:rPr/>
            </w:pPr>
            <w:r>
              <w:rPr/>
              <w:t>  </w:t>
            </w:r>
          </w:p>
        </w:tc>
        <w:tc>
          <w:tcPr>
            <w:tcW w:w="2492" w:type="dxa"/>
            <w:tcBorders/>
          </w:tcPr>
          <w:p>
            <w:pPr>
              <w:pStyle w:val="TableContents"/>
              <w:bidi w:val="0"/>
              <w:spacing w:before="0" w:after="283"/>
              <w:jc w:val="left"/>
              <w:rPr/>
            </w:pPr>
            <w:r>
              <w:rPr/>
              <w:t>N/A</w:t>
            </w:r>
          </w:p>
        </w:tc>
        <w:tc>
          <w:tcPr>
            <w:tcW w:w="122" w:type="dxa"/>
            <w:tcBorders/>
            <w:vAlign w:val="bottom"/>
          </w:tcPr>
          <w:p>
            <w:pPr>
              <w:pStyle w:val="TableContents"/>
              <w:bidi w:val="0"/>
              <w:spacing w:before="0" w:after="283"/>
              <w:jc w:val="left"/>
              <w:rPr/>
            </w:pPr>
            <w:r>
              <w:rPr/>
              <w:t>  </w:t>
            </w:r>
          </w:p>
        </w:tc>
        <w:tc>
          <w:tcPr>
            <w:tcW w:w="1836" w:type="dxa"/>
            <w:tcBorders/>
          </w:tcPr>
          <w:p>
            <w:pPr>
              <w:pStyle w:val="TableContents"/>
              <w:bidi w:val="0"/>
              <w:spacing w:before="0" w:after="283"/>
              <w:jc w:val="left"/>
              <w:rPr/>
            </w:pPr>
            <w:r>
              <w:rPr/>
              <w:t>Effective Date Deliverable</w:t>
            </w:r>
          </w:p>
        </w:tc>
      </w:tr>
      <w:tr>
        <w:trPr>
          <w:trHeight w:val="120" w:hRule="atLeast"/>
        </w:trPr>
        <w:tc>
          <w:tcPr>
            <w:tcW w:w="4649" w:type="dxa"/>
            <w:tcBorders/>
            <w:vAlign w:val="center"/>
          </w:tcPr>
          <w:p>
            <w:pPr>
              <w:pStyle w:val="TableContents"/>
              <w:bidi w:val="0"/>
              <w:spacing w:before="0" w:after="283"/>
              <w:jc w:val="left"/>
              <w:rPr>
                <w:sz w:val="4"/>
                <w:szCs w:val="4"/>
              </w:rPr>
            </w:pPr>
            <w:r>
              <w:rPr>
                <w:sz w:val="4"/>
                <w:szCs w:val="4"/>
              </w:rPr>
            </w:r>
          </w:p>
        </w:tc>
        <w:tc>
          <w:tcPr>
            <w:tcW w:w="984" w:type="dxa"/>
            <w:gridSpan w:val="2"/>
            <w:tcBorders/>
            <w:vAlign w:val="center"/>
          </w:tcPr>
          <w:p>
            <w:pPr>
              <w:pStyle w:val="TableContents"/>
              <w:bidi w:val="0"/>
              <w:spacing w:before="0" w:after="283"/>
              <w:jc w:val="left"/>
              <w:rPr>
                <w:sz w:val="4"/>
                <w:szCs w:val="4"/>
              </w:rPr>
            </w:pPr>
            <w:r>
              <w:rPr>
                <w:sz w:val="4"/>
                <w:szCs w:val="4"/>
              </w:rPr>
            </w:r>
          </w:p>
        </w:tc>
        <w:tc>
          <w:tcPr>
            <w:tcW w:w="2614" w:type="dxa"/>
            <w:gridSpan w:val="2"/>
            <w:tcBorders/>
            <w:vAlign w:val="center"/>
          </w:tcPr>
          <w:p>
            <w:pPr>
              <w:pStyle w:val="TableContents"/>
              <w:bidi w:val="0"/>
              <w:spacing w:before="0" w:after="283"/>
              <w:jc w:val="left"/>
              <w:rPr>
                <w:sz w:val="4"/>
                <w:szCs w:val="4"/>
              </w:rPr>
            </w:pPr>
            <w:r>
              <w:rPr>
                <w:sz w:val="4"/>
                <w:szCs w:val="4"/>
              </w:rPr>
            </w:r>
          </w:p>
        </w:tc>
        <w:tc>
          <w:tcPr>
            <w:tcW w:w="1958" w:type="dxa"/>
            <w:gridSpan w:val="2"/>
            <w:tcBorders/>
            <w:vAlign w:val="center"/>
          </w:tcPr>
          <w:p>
            <w:pPr>
              <w:pStyle w:val="TableContents"/>
              <w:bidi w:val="0"/>
              <w:spacing w:before="0" w:after="283"/>
              <w:jc w:val="left"/>
              <w:rPr>
                <w:sz w:val="4"/>
                <w:szCs w:val="4"/>
              </w:rPr>
            </w:pPr>
            <w:r>
              <w:rPr>
                <w:sz w:val="4"/>
                <w:szCs w:val="4"/>
              </w:rPr>
            </w:r>
          </w:p>
        </w:tc>
      </w:tr>
      <w:tr>
        <w:trPr/>
        <w:tc>
          <w:tcPr>
            <w:tcW w:w="4649" w:type="dxa"/>
            <w:tcBorders/>
          </w:tcPr>
          <w:p>
            <w:pPr>
              <w:pStyle w:val="TableContents"/>
              <w:bidi w:val="0"/>
              <w:spacing w:before="0" w:after="0"/>
              <w:jc w:val="left"/>
              <w:rPr>
                <w:rFonts w:ascii="Times New Roman" w:hAnsi="Times New Roman"/>
                <w:sz w:val="20"/>
              </w:rPr>
            </w:pPr>
            <w:r>
              <w:rPr>
                <w:rFonts w:ascii="Times New Roman" w:hAnsi="Times New Roman"/>
                <w:sz w:val="20"/>
              </w:rPr>
              <w:t>18.  Release and/or termination of all security interests or liens of any person in the Receivables or Related Security previously granted by any Originator</w:t>
            </w:r>
          </w:p>
        </w:tc>
        <w:tc>
          <w:tcPr>
            <w:tcW w:w="122" w:type="dxa"/>
            <w:tcBorders/>
            <w:vAlign w:val="bottom"/>
          </w:tcPr>
          <w:p>
            <w:pPr>
              <w:pStyle w:val="TableContents"/>
              <w:bidi w:val="0"/>
              <w:spacing w:before="0" w:after="283"/>
              <w:jc w:val="left"/>
              <w:rPr/>
            </w:pPr>
            <w:r>
              <w:rPr/>
              <w:t>  </w:t>
            </w:r>
          </w:p>
        </w:tc>
        <w:tc>
          <w:tcPr>
            <w:tcW w:w="862" w:type="dxa"/>
            <w:tcBorders/>
          </w:tcPr>
          <w:p>
            <w:pPr>
              <w:pStyle w:val="TableContents"/>
              <w:bidi w:val="0"/>
              <w:spacing w:before="0" w:after="283"/>
              <w:jc w:val="left"/>
              <w:rPr/>
            </w:pPr>
            <w:r>
              <w:rPr/>
              <w:t>Sabre NY Counsel</w:t>
            </w:r>
          </w:p>
        </w:tc>
        <w:tc>
          <w:tcPr>
            <w:tcW w:w="122" w:type="dxa"/>
            <w:tcBorders/>
            <w:vAlign w:val="bottom"/>
          </w:tcPr>
          <w:p>
            <w:pPr>
              <w:pStyle w:val="TableContents"/>
              <w:bidi w:val="0"/>
              <w:spacing w:before="0" w:after="283"/>
              <w:jc w:val="left"/>
              <w:rPr/>
            </w:pPr>
            <w:r>
              <w:rPr/>
              <w:t>  </w:t>
            </w:r>
          </w:p>
        </w:tc>
        <w:tc>
          <w:tcPr>
            <w:tcW w:w="2492" w:type="dxa"/>
            <w:tcBorders/>
          </w:tcPr>
          <w:p>
            <w:pPr>
              <w:pStyle w:val="TableContents"/>
              <w:bidi w:val="0"/>
              <w:spacing w:before="0" w:after="283"/>
              <w:jc w:val="left"/>
              <w:rPr/>
            </w:pPr>
            <w:r>
              <w:rPr/>
              <w:t>N/A</w:t>
            </w:r>
          </w:p>
        </w:tc>
        <w:tc>
          <w:tcPr>
            <w:tcW w:w="122" w:type="dxa"/>
            <w:tcBorders/>
            <w:vAlign w:val="bottom"/>
          </w:tcPr>
          <w:p>
            <w:pPr>
              <w:pStyle w:val="TableContents"/>
              <w:bidi w:val="0"/>
              <w:spacing w:before="0" w:after="283"/>
              <w:jc w:val="left"/>
              <w:rPr/>
            </w:pPr>
            <w:r>
              <w:rPr/>
              <w:t>  </w:t>
            </w:r>
          </w:p>
        </w:tc>
        <w:tc>
          <w:tcPr>
            <w:tcW w:w="1836" w:type="dxa"/>
            <w:tcBorders/>
          </w:tcPr>
          <w:p>
            <w:pPr>
              <w:pStyle w:val="TableContents"/>
              <w:bidi w:val="0"/>
              <w:spacing w:before="0" w:after="283"/>
              <w:jc w:val="left"/>
              <w:rPr/>
            </w:pPr>
            <w:r>
              <w:rPr/>
              <w:t>Effective Date Deliverable</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tcPr>
          <w:p>
            <w:pPr>
              <w:pStyle w:val="TableContents"/>
              <w:bidi w:val="0"/>
              <w:spacing w:before="0" w:after="283"/>
              <w:jc w:val="left"/>
              <w:rPr>
                <w:b/>
              </w:rPr>
            </w:pPr>
            <w:r>
              <w:rPr>
                <w:b/>
              </w:rPr>
              <w:t>C. LEGAL OPINIONS</w:t>
            </w:r>
          </w:p>
        </w:tc>
      </w:tr>
      <w:tr>
        <w:trPr>
          <w:trHeight w:val="120" w:hRule="atLeast"/>
        </w:trPr>
        <w:tc>
          <w:tcPr>
            <w:tcW w:w="4649" w:type="dxa"/>
            <w:tcBorders/>
            <w:vAlign w:val="center"/>
          </w:tcPr>
          <w:p>
            <w:pPr>
              <w:pStyle w:val="TableContents"/>
              <w:bidi w:val="0"/>
              <w:spacing w:before="0" w:after="283"/>
              <w:jc w:val="left"/>
              <w:rPr>
                <w:sz w:val="4"/>
                <w:szCs w:val="4"/>
              </w:rPr>
            </w:pPr>
            <w:r>
              <w:rPr>
                <w:sz w:val="4"/>
                <w:szCs w:val="4"/>
              </w:rPr>
            </w:r>
          </w:p>
        </w:tc>
        <w:tc>
          <w:tcPr>
            <w:tcW w:w="984" w:type="dxa"/>
            <w:gridSpan w:val="2"/>
            <w:tcBorders/>
            <w:vAlign w:val="center"/>
          </w:tcPr>
          <w:p>
            <w:pPr>
              <w:pStyle w:val="TableContents"/>
              <w:bidi w:val="0"/>
              <w:spacing w:before="0" w:after="283"/>
              <w:jc w:val="left"/>
              <w:rPr>
                <w:sz w:val="4"/>
                <w:szCs w:val="4"/>
              </w:rPr>
            </w:pPr>
            <w:r>
              <w:rPr>
                <w:sz w:val="4"/>
                <w:szCs w:val="4"/>
              </w:rPr>
            </w:r>
          </w:p>
        </w:tc>
        <w:tc>
          <w:tcPr>
            <w:tcW w:w="2614" w:type="dxa"/>
            <w:gridSpan w:val="2"/>
            <w:tcBorders/>
            <w:vAlign w:val="center"/>
          </w:tcPr>
          <w:p>
            <w:pPr>
              <w:pStyle w:val="TableContents"/>
              <w:bidi w:val="0"/>
              <w:spacing w:before="0" w:after="283"/>
              <w:jc w:val="left"/>
              <w:rPr>
                <w:sz w:val="4"/>
                <w:szCs w:val="4"/>
              </w:rPr>
            </w:pPr>
            <w:r>
              <w:rPr>
                <w:sz w:val="4"/>
                <w:szCs w:val="4"/>
              </w:rPr>
            </w:r>
          </w:p>
        </w:tc>
        <w:tc>
          <w:tcPr>
            <w:tcW w:w="1958" w:type="dxa"/>
            <w:gridSpan w:val="2"/>
            <w:tcBorders/>
            <w:vAlign w:val="center"/>
          </w:tcPr>
          <w:p>
            <w:pPr>
              <w:pStyle w:val="TableContents"/>
              <w:bidi w:val="0"/>
              <w:spacing w:before="0" w:after="283"/>
              <w:jc w:val="left"/>
              <w:rPr>
                <w:sz w:val="4"/>
                <w:szCs w:val="4"/>
              </w:rPr>
            </w:pPr>
            <w:r>
              <w:rPr>
                <w:sz w:val="4"/>
                <w:szCs w:val="4"/>
              </w:rPr>
            </w:r>
          </w:p>
        </w:tc>
      </w:tr>
      <w:tr>
        <w:trPr/>
        <w:tc>
          <w:tcPr>
            <w:tcW w:w="4649" w:type="dxa"/>
            <w:tcBorders/>
          </w:tcPr>
          <w:p>
            <w:pPr>
              <w:pStyle w:val="TableContents"/>
              <w:bidi w:val="0"/>
              <w:spacing w:before="0" w:after="0"/>
              <w:jc w:val="left"/>
              <w:rPr>
                <w:rFonts w:ascii="Times New Roman" w:hAnsi="Times New Roman"/>
                <w:sz w:val="20"/>
              </w:rPr>
            </w:pPr>
            <w:r>
              <w:rPr>
                <w:rFonts w:ascii="Times New Roman" w:hAnsi="Times New Roman"/>
                <w:sz w:val="20"/>
              </w:rPr>
              <w:t>19.  Opinion of Sabre Counsel re: (i) general corporate matters, (ii) enforceability, (iii) no-conflicts with organizational documents, material agreements, New York and Federal law (iv) ’40 Act and (v) security interest matters</w:t>
            </w:r>
          </w:p>
        </w:tc>
        <w:tc>
          <w:tcPr>
            <w:tcW w:w="122" w:type="dxa"/>
            <w:tcBorders/>
            <w:vAlign w:val="bottom"/>
          </w:tcPr>
          <w:p>
            <w:pPr>
              <w:pStyle w:val="TableContents"/>
              <w:bidi w:val="0"/>
              <w:spacing w:before="0" w:after="283"/>
              <w:jc w:val="left"/>
              <w:rPr/>
            </w:pPr>
            <w:r>
              <w:rPr/>
              <w:t>  </w:t>
            </w:r>
          </w:p>
        </w:tc>
        <w:tc>
          <w:tcPr>
            <w:tcW w:w="862" w:type="dxa"/>
            <w:tcBorders/>
          </w:tcPr>
          <w:p>
            <w:pPr>
              <w:pStyle w:val="TableContents"/>
              <w:bidi w:val="0"/>
              <w:spacing w:before="0" w:after="283"/>
              <w:jc w:val="left"/>
              <w:rPr/>
            </w:pPr>
            <w:r>
              <w:rPr/>
              <w:t>Sabre Counsel</w:t>
            </w:r>
          </w:p>
        </w:tc>
        <w:tc>
          <w:tcPr>
            <w:tcW w:w="122" w:type="dxa"/>
            <w:tcBorders/>
            <w:vAlign w:val="bottom"/>
          </w:tcPr>
          <w:p>
            <w:pPr>
              <w:pStyle w:val="TableContents"/>
              <w:bidi w:val="0"/>
              <w:spacing w:before="0" w:after="283"/>
              <w:jc w:val="left"/>
              <w:rPr/>
            </w:pPr>
            <w:r>
              <w:rPr/>
              <w:t>  </w:t>
            </w:r>
          </w:p>
        </w:tc>
        <w:tc>
          <w:tcPr>
            <w:tcW w:w="2492" w:type="dxa"/>
            <w:tcBorders/>
          </w:tcPr>
          <w:p>
            <w:pPr>
              <w:pStyle w:val="TableContents"/>
              <w:bidi w:val="0"/>
              <w:spacing w:before="0" w:after="283"/>
              <w:jc w:val="left"/>
              <w:rPr/>
            </w:pPr>
            <w:r>
              <w:rPr/>
              <w:t xml:space="preserve">☐ </w:t>
            </w:r>
            <w:r>
              <w:rPr/>
              <w:t>Sabre Counsel</w:t>
            </w:r>
          </w:p>
        </w:tc>
        <w:tc>
          <w:tcPr>
            <w:tcW w:w="122" w:type="dxa"/>
            <w:tcBorders/>
            <w:vAlign w:val="bottom"/>
          </w:tcPr>
          <w:p>
            <w:pPr>
              <w:pStyle w:val="TableContents"/>
              <w:bidi w:val="0"/>
              <w:spacing w:before="0" w:after="283"/>
              <w:jc w:val="left"/>
              <w:rPr/>
            </w:pPr>
            <w:r>
              <w:rPr/>
              <w:t>  </w:t>
            </w:r>
          </w:p>
        </w:tc>
        <w:tc>
          <w:tcPr>
            <w:tcW w:w="1836" w:type="dxa"/>
            <w:tcBorders/>
          </w:tcPr>
          <w:p>
            <w:pPr>
              <w:pStyle w:val="TableContents"/>
              <w:bidi w:val="0"/>
              <w:spacing w:before="0" w:after="283"/>
              <w:jc w:val="left"/>
              <w:rPr/>
            </w:pPr>
            <w:r>
              <w:rPr/>
              <w:t>Effective Date Deliverable</w:t>
            </w:r>
          </w:p>
        </w:tc>
      </w:tr>
      <w:tr>
        <w:trPr>
          <w:trHeight w:val="120" w:hRule="atLeast"/>
        </w:trPr>
        <w:tc>
          <w:tcPr>
            <w:tcW w:w="4649" w:type="dxa"/>
            <w:tcBorders/>
            <w:vAlign w:val="center"/>
          </w:tcPr>
          <w:p>
            <w:pPr>
              <w:pStyle w:val="TableContents"/>
              <w:bidi w:val="0"/>
              <w:spacing w:before="0" w:after="283"/>
              <w:jc w:val="left"/>
              <w:rPr>
                <w:sz w:val="4"/>
                <w:szCs w:val="4"/>
              </w:rPr>
            </w:pPr>
            <w:r>
              <w:rPr>
                <w:sz w:val="4"/>
                <w:szCs w:val="4"/>
              </w:rPr>
            </w:r>
          </w:p>
        </w:tc>
        <w:tc>
          <w:tcPr>
            <w:tcW w:w="984" w:type="dxa"/>
            <w:gridSpan w:val="2"/>
            <w:tcBorders/>
            <w:vAlign w:val="center"/>
          </w:tcPr>
          <w:p>
            <w:pPr>
              <w:pStyle w:val="TableContents"/>
              <w:bidi w:val="0"/>
              <w:spacing w:before="0" w:after="283"/>
              <w:jc w:val="left"/>
              <w:rPr>
                <w:sz w:val="4"/>
                <w:szCs w:val="4"/>
              </w:rPr>
            </w:pPr>
            <w:r>
              <w:rPr>
                <w:sz w:val="4"/>
                <w:szCs w:val="4"/>
              </w:rPr>
            </w:r>
          </w:p>
        </w:tc>
        <w:tc>
          <w:tcPr>
            <w:tcW w:w="2614" w:type="dxa"/>
            <w:gridSpan w:val="2"/>
            <w:tcBorders/>
            <w:vAlign w:val="center"/>
          </w:tcPr>
          <w:p>
            <w:pPr>
              <w:pStyle w:val="TableContents"/>
              <w:bidi w:val="0"/>
              <w:spacing w:before="0" w:after="283"/>
              <w:jc w:val="left"/>
              <w:rPr>
                <w:sz w:val="4"/>
                <w:szCs w:val="4"/>
              </w:rPr>
            </w:pPr>
            <w:r>
              <w:rPr>
                <w:sz w:val="4"/>
                <w:szCs w:val="4"/>
              </w:rPr>
            </w:r>
          </w:p>
        </w:tc>
        <w:tc>
          <w:tcPr>
            <w:tcW w:w="1958" w:type="dxa"/>
            <w:gridSpan w:val="2"/>
            <w:tcBorders/>
            <w:vAlign w:val="center"/>
          </w:tcPr>
          <w:p>
            <w:pPr>
              <w:pStyle w:val="TableContents"/>
              <w:bidi w:val="0"/>
              <w:spacing w:before="0" w:after="283"/>
              <w:jc w:val="left"/>
              <w:rPr>
                <w:sz w:val="4"/>
                <w:szCs w:val="4"/>
              </w:rPr>
            </w:pPr>
            <w:r>
              <w:rPr>
                <w:sz w:val="4"/>
                <w:szCs w:val="4"/>
              </w:rPr>
            </w:r>
          </w:p>
        </w:tc>
      </w:tr>
      <w:tr>
        <w:trPr/>
        <w:tc>
          <w:tcPr>
            <w:tcW w:w="4649" w:type="dxa"/>
            <w:tcBorders/>
          </w:tcPr>
          <w:p>
            <w:pPr>
              <w:pStyle w:val="TableContents"/>
              <w:bidi w:val="0"/>
              <w:spacing w:before="0" w:after="0"/>
              <w:jc w:val="left"/>
              <w:rPr>
                <w:rFonts w:ascii="Times New Roman" w:hAnsi="Times New Roman"/>
                <w:sz w:val="20"/>
              </w:rPr>
            </w:pPr>
            <w:r>
              <w:rPr>
                <w:rFonts w:ascii="Times New Roman" w:hAnsi="Times New Roman"/>
                <w:sz w:val="20"/>
              </w:rPr>
              <w:t>20.  Opinion of counsel to the Sabre Parties re: substantive consolidation matters</w:t>
            </w:r>
          </w:p>
        </w:tc>
        <w:tc>
          <w:tcPr>
            <w:tcW w:w="122" w:type="dxa"/>
            <w:tcBorders/>
            <w:vAlign w:val="bottom"/>
          </w:tcPr>
          <w:p>
            <w:pPr>
              <w:pStyle w:val="TableContents"/>
              <w:bidi w:val="0"/>
              <w:spacing w:before="0" w:after="283"/>
              <w:jc w:val="left"/>
              <w:rPr/>
            </w:pPr>
            <w:r>
              <w:rPr/>
              <w:t>  </w:t>
            </w:r>
          </w:p>
        </w:tc>
        <w:tc>
          <w:tcPr>
            <w:tcW w:w="862" w:type="dxa"/>
            <w:tcBorders/>
          </w:tcPr>
          <w:p>
            <w:pPr>
              <w:pStyle w:val="TableContents"/>
              <w:bidi w:val="0"/>
              <w:spacing w:before="0" w:after="283"/>
              <w:jc w:val="left"/>
              <w:rPr/>
            </w:pPr>
            <w:r>
              <w:rPr/>
              <w:t>Sabre DE counsel</w:t>
            </w:r>
          </w:p>
        </w:tc>
        <w:tc>
          <w:tcPr>
            <w:tcW w:w="122" w:type="dxa"/>
            <w:tcBorders/>
            <w:vAlign w:val="bottom"/>
          </w:tcPr>
          <w:p>
            <w:pPr>
              <w:pStyle w:val="TableContents"/>
              <w:bidi w:val="0"/>
              <w:spacing w:before="0" w:after="283"/>
              <w:jc w:val="left"/>
              <w:rPr/>
            </w:pPr>
            <w:r>
              <w:rPr/>
              <w:t>  </w:t>
            </w:r>
          </w:p>
        </w:tc>
        <w:tc>
          <w:tcPr>
            <w:tcW w:w="2492" w:type="dxa"/>
            <w:tcBorders/>
          </w:tcPr>
          <w:p>
            <w:pPr>
              <w:pStyle w:val="TableContents"/>
              <w:bidi w:val="0"/>
              <w:spacing w:before="0" w:after="283"/>
              <w:jc w:val="left"/>
              <w:rPr/>
            </w:pPr>
            <w:r>
              <w:rPr/>
              <w:t xml:space="preserve">☐ </w:t>
            </w:r>
            <w:r>
              <w:rPr/>
              <w:t>Sabre DE Counsel</w:t>
            </w:r>
          </w:p>
        </w:tc>
        <w:tc>
          <w:tcPr>
            <w:tcW w:w="122" w:type="dxa"/>
            <w:tcBorders/>
            <w:vAlign w:val="bottom"/>
          </w:tcPr>
          <w:p>
            <w:pPr>
              <w:pStyle w:val="TableContents"/>
              <w:bidi w:val="0"/>
              <w:spacing w:before="0" w:after="283"/>
              <w:jc w:val="left"/>
              <w:rPr/>
            </w:pPr>
            <w:r>
              <w:rPr/>
              <w:t>  </w:t>
            </w:r>
          </w:p>
        </w:tc>
        <w:tc>
          <w:tcPr>
            <w:tcW w:w="1836" w:type="dxa"/>
            <w:tcBorders/>
          </w:tcPr>
          <w:p>
            <w:pPr>
              <w:pStyle w:val="TableContents"/>
              <w:bidi w:val="0"/>
              <w:spacing w:before="0" w:after="283"/>
              <w:jc w:val="left"/>
              <w:rPr/>
            </w:pPr>
            <w:r>
              <w:rPr/>
              <w:t>Effective Date Deliverable</w:t>
            </w:r>
          </w:p>
        </w:tc>
      </w:tr>
      <w:tr>
        <w:trPr>
          <w:trHeight w:val="120" w:hRule="atLeast"/>
        </w:trPr>
        <w:tc>
          <w:tcPr>
            <w:tcW w:w="4649" w:type="dxa"/>
            <w:tcBorders/>
            <w:vAlign w:val="center"/>
          </w:tcPr>
          <w:p>
            <w:pPr>
              <w:pStyle w:val="TableContents"/>
              <w:bidi w:val="0"/>
              <w:spacing w:before="0" w:after="283"/>
              <w:jc w:val="left"/>
              <w:rPr>
                <w:sz w:val="4"/>
                <w:szCs w:val="4"/>
              </w:rPr>
            </w:pPr>
            <w:r>
              <w:rPr>
                <w:sz w:val="4"/>
                <w:szCs w:val="4"/>
              </w:rPr>
            </w:r>
          </w:p>
        </w:tc>
        <w:tc>
          <w:tcPr>
            <w:tcW w:w="984" w:type="dxa"/>
            <w:gridSpan w:val="2"/>
            <w:tcBorders/>
            <w:vAlign w:val="center"/>
          </w:tcPr>
          <w:p>
            <w:pPr>
              <w:pStyle w:val="TableContents"/>
              <w:bidi w:val="0"/>
              <w:spacing w:before="0" w:after="283"/>
              <w:jc w:val="left"/>
              <w:rPr>
                <w:sz w:val="4"/>
                <w:szCs w:val="4"/>
              </w:rPr>
            </w:pPr>
            <w:r>
              <w:rPr>
                <w:sz w:val="4"/>
                <w:szCs w:val="4"/>
              </w:rPr>
            </w:r>
          </w:p>
        </w:tc>
        <w:tc>
          <w:tcPr>
            <w:tcW w:w="2614" w:type="dxa"/>
            <w:gridSpan w:val="2"/>
            <w:tcBorders/>
            <w:vAlign w:val="center"/>
          </w:tcPr>
          <w:p>
            <w:pPr>
              <w:pStyle w:val="TableContents"/>
              <w:bidi w:val="0"/>
              <w:spacing w:before="0" w:after="283"/>
              <w:jc w:val="left"/>
              <w:rPr>
                <w:sz w:val="4"/>
                <w:szCs w:val="4"/>
              </w:rPr>
            </w:pPr>
            <w:r>
              <w:rPr>
                <w:sz w:val="4"/>
                <w:szCs w:val="4"/>
              </w:rPr>
            </w:r>
          </w:p>
        </w:tc>
        <w:tc>
          <w:tcPr>
            <w:tcW w:w="1958" w:type="dxa"/>
            <w:gridSpan w:val="2"/>
            <w:tcBorders/>
            <w:vAlign w:val="center"/>
          </w:tcPr>
          <w:p>
            <w:pPr>
              <w:pStyle w:val="TableContents"/>
              <w:bidi w:val="0"/>
              <w:spacing w:before="0" w:after="283"/>
              <w:jc w:val="left"/>
              <w:rPr>
                <w:sz w:val="4"/>
                <w:szCs w:val="4"/>
              </w:rPr>
            </w:pPr>
            <w:r>
              <w:rPr>
                <w:sz w:val="4"/>
                <w:szCs w:val="4"/>
              </w:rPr>
            </w:r>
          </w:p>
        </w:tc>
      </w:tr>
      <w:tr>
        <w:trPr/>
        <w:tc>
          <w:tcPr>
            <w:tcW w:w="4649" w:type="dxa"/>
            <w:tcBorders/>
          </w:tcPr>
          <w:p>
            <w:pPr>
              <w:pStyle w:val="TableContents"/>
              <w:bidi w:val="0"/>
              <w:spacing w:before="0" w:after="0"/>
              <w:jc w:val="left"/>
              <w:rPr>
                <w:rFonts w:ascii="Times New Roman" w:hAnsi="Times New Roman"/>
                <w:sz w:val="20"/>
              </w:rPr>
            </w:pPr>
            <w:r>
              <w:rPr>
                <w:rFonts w:ascii="Times New Roman" w:hAnsi="Times New Roman"/>
                <w:sz w:val="20"/>
              </w:rPr>
              <w:t>21.  Opinion of MB SG re: Singapore law (capacity, enforceability, and true sale) in respect of the SG Originator and Singapore transaction documents</w:t>
            </w:r>
          </w:p>
        </w:tc>
        <w:tc>
          <w:tcPr>
            <w:tcW w:w="122" w:type="dxa"/>
            <w:tcBorders/>
            <w:vAlign w:val="bottom"/>
          </w:tcPr>
          <w:p>
            <w:pPr>
              <w:pStyle w:val="TableContents"/>
              <w:bidi w:val="0"/>
              <w:spacing w:before="0" w:after="283"/>
              <w:jc w:val="left"/>
              <w:rPr/>
            </w:pPr>
            <w:r>
              <w:rPr/>
              <w:t>  </w:t>
            </w:r>
          </w:p>
        </w:tc>
        <w:tc>
          <w:tcPr>
            <w:tcW w:w="862" w:type="dxa"/>
            <w:tcBorders/>
          </w:tcPr>
          <w:p>
            <w:pPr>
              <w:pStyle w:val="TableContents"/>
              <w:bidi w:val="0"/>
              <w:spacing w:before="0" w:after="283"/>
              <w:jc w:val="left"/>
              <w:rPr/>
            </w:pPr>
            <w:r>
              <w:rPr/>
              <w:t>MB SG</w:t>
            </w:r>
          </w:p>
        </w:tc>
        <w:tc>
          <w:tcPr>
            <w:tcW w:w="122" w:type="dxa"/>
            <w:tcBorders/>
            <w:vAlign w:val="bottom"/>
          </w:tcPr>
          <w:p>
            <w:pPr>
              <w:pStyle w:val="TableContents"/>
              <w:bidi w:val="0"/>
              <w:spacing w:before="0" w:after="283"/>
              <w:jc w:val="left"/>
              <w:rPr/>
            </w:pPr>
            <w:r>
              <w:rPr/>
              <w:t>  </w:t>
            </w:r>
          </w:p>
        </w:tc>
        <w:tc>
          <w:tcPr>
            <w:tcW w:w="2492" w:type="dxa"/>
            <w:tcBorders/>
          </w:tcPr>
          <w:p>
            <w:pPr>
              <w:pStyle w:val="TableContents"/>
              <w:bidi w:val="0"/>
              <w:spacing w:before="0" w:after="283"/>
              <w:jc w:val="left"/>
              <w:rPr/>
            </w:pPr>
            <w:r>
              <w:rPr/>
              <w:t xml:space="preserve">☐ </w:t>
            </w:r>
            <w:r>
              <w:rPr/>
              <w:t>MB SG</w:t>
            </w:r>
          </w:p>
        </w:tc>
        <w:tc>
          <w:tcPr>
            <w:tcW w:w="122" w:type="dxa"/>
            <w:tcBorders/>
            <w:vAlign w:val="bottom"/>
          </w:tcPr>
          <w:p>
            <w:pPr>
              <w:pStyle w:val="TableContents"/>
              <w:bidi w:val="0"/>
              <w:spacing w:before="0" w:after="283"/>
              <w:jc w:val="left"/>
              <w:rPr/>
            </w:pPr>
            <w:r>
              <w:rPr/>
              <w:t>  </w:t>
            </w:r>
          </w:p>
        </w:tc>
        <w:tc>
          <w:tcPr>
            <w:tcW w:w="1836" w:type="dxa"/>
            <w:tcBorders/>
          </w:tcPr>
          <w:p>
            <w:pPr>
              <w:pStyle w:val="TableContents"/>
              <w:bidi w:val="0"/>
              <w:spacing w:before="0" w:after="283"/>
              <w:jc w:val="left"/>
              <w:rPr/>
            </w:pPr>
            <w:r>
              <w:rPr/>
              <w:t>Effective Date Deliverable</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tcPr>
          <w:p>
            <w:pPr>
              <w:pStyle w:val="TableContents"/>
              <w:bidi w:val="0"/>
              <w:spacing w:before="0" w:after="283"/>
              <w:jc w:val="left"/>
              <w:rPr>
                <w:b/>
              </w:rPr>
            </w:pPr>
            <w:r>
              <w:rPr>
                <w:b/>
              </w:rPr>
              <w:t>D. DOCUMENTATION AS TO AUTHORITY, INCUMBENCY AND OTHER MATTERS WITH RESPECT TO EACH SABRE PARTY</w:t>
            </w:r>
          </w:p>
        </w:tc>
      </w:tr>
      <w:tr>
        <w:trPr>
          <w:trHeight w:val="120" w:hRule="atLeast"/>
        </w:trPr>
        <w:tc>
          <w:tcPr>
            <w:tcW w:w="4649" w:type="dxa"/>
            <w:tcBorders/>
            <w:vAlign w:val="center"/>
          </w:tcPr>
          <w:p>
            <w:pPr>
              <w:pStyle w:val="TableContents"/>
              <w:bidi w:val="0"/>
              <w:spacing w:before="0" w:after="283"/>
              <w:jc w:val="left"/>
              <w:rPr>
                <w:sz w:val="4"/>
                <w:szCs w:val="4"/>
              </w:rPr>
            </w:pPr>
            <w:r>
              <w:rPr>
                <w:sz w:val="4"/>
                <w:szCs w:val="4"/>
              </w:rPr>
            </w:r>
          </w:p>
        </w:tc>
        <w:tc>
          <w:tcPr>
            <w:tcW w:w="984" w:type="dxa"/>
            <w:gridSpan w:val="2"/>
            <w:tcBorders/>
            <w:vAlign w:val="center"/>
          </w:tcPr>
          <w:p>
            <w:pPr>
              <w:pStyle w:val="TableContents"/>
              <w:bidi w:val="0"/>
              <w:spacing w:before="0" w:after="283"/>
              <w:jc w:val="left"/>
              <w:rPr>
                <w:sz w:val="4"/>
                <w:szCs w:val="4"/>
              </w:rPr>
            </w:pPr>
            <w:r>
              <w:rPr>
                <w:sz w:val="4"/>
                <w:szCs w:val="4"/>
              </w:rPr>
            </w:r>
          </w:p>
        </w:tc>
        <w:tc>
          <w:tcPr>
            <w:tcW w:w="2614" w:type="dxa"/>
            <w:gridSpan w:val="2"/>
            <w:tcBorders/>
            <w:vAlign w:val="center"/>
          </w:tcPr>
          <w:p>
            <w:pPr>
              <w:pStyle w:val="TableContents"/>
              <w:bidi w:val="0"/>
              <w:spacing w:before="0" w:after="283"/>
              <w:jc w:val="left"/>
              <w:rPr>
                <w:sz w:val="4"/>
                <w:szCs w:val="4"/>
              </w:rPr>
            </w:pPr>
            <w:r>
              <w:rPr>
                <w:sz w:val="4"/>
                <w:szCs w:val="4"/>
              </w:rPr>
            </w:r>
          </w:p>
        </w:tc>
        <w:tc>
          <w:tcPr>
            <w:tcW w:w="1958" w:type="dxa"/>
            <w:gridSpan w:val="2"/>
            <w:tcBorders/>
            <w:vAlign w:val="center"/>
          </w:tcPr>
          <w:p>
            <w:pPr>
              <w:pStyle w:val="TableContents"/>
              <w:bidi w:val="0"/>
              <w:spacing w:before="0" w:after="283"/>
              <w:jc w:val="left"/>
              <w:rPr>
                <w:sz w:val="4"/>
                <w:szCs w:val="4"/>
              </w:rPr>
            </w:pPr>
            <w:r>
              <w:rPr>
                <w:sz w:val="4"/>
                <w:szCs w:val="4"/>
              </w:rPr>
            </w:r>
          </w:p>
        </w:tc>
      </w:tr>
      <w:tr>
        <w:trPr/>
        <w:tc>
          <w:tcPr>
            <w:tcW w:w="4649" w:type="dxa"/>
            <w:tcBorders/>
          </w:tcPr>
          <w:p>
            <w:pPr>
              <w:pStyle w:val="TableContents"/>
              <w:bidi w:val="0"/>
              <w:spacing w:before="0" w:after="0"/>
              <w:jc w:val="left"/>
              <w:rPr>
                <w:rFonts w:ascii="Times New Roman" w:hAnsi="Times New Roman"/>
                <w:sz w:val="20"/>
              </w:rPr>
            </w:pPr>
            <w:r>
              <w:rPr>
                <w:rFonts w:ascii="Times New Roman" w:hAnsi="Times New Roman"/>
                <w:sz w:val="20"/>
              </w:rPr>
              <w:t>22.  Officer’s Certificate of Performance Guarantor</w:t>
            </w:r>
          </w:p>
          <w:p>
            <w:pPr>
              <w:pStyle w:val="TableContents"/>
              <w:bidi w:val="0"/>
              <w:spacing w:before="0" w:after="0"/>
              <w:jc w:val="left"/>
              <w:rPr>
                <w:rFonts w:ascii="Times New Roman" w:hAnsi="Times New Roman"/>
                <w:sz w:val="20"/>
              </w:rPr>
            </w:pPr>
            <w:r>
              <w:rPr>
                <w:rFonts w:ascii="Times New Roman" w:hAnsi="Times New Roman"/>
                <w:sz w:val="20"/>
              </w:rPr>
              <w:t>a. Authorizing Resolutions</w:t>
            </w:r>
          </w:p>
          <w:p>
            <w:pPr>
              <w:pStyle w:val="TableContents"/>
              <w:bidi w:val="0"/>
              <w:spacing w:before="0" w:after="0"/>
              <w:jc w:val="left"/>
              <w:rPr>
                <w:rFonts w:ascii="Times New Roman" w:hAnsi="Times New Roman"/>
                <w:sz w:val="20"/>
              </w:rPr>
            </w:pPr>
            <w:r>
              <w:rPr>
                <w:rFonts w:ascii="Times New Roman" w:hAnsi="Times New Roman"/>
                <w:sz w:val="20"/>
              </w:rPr>
              <w:t>b. Articles of Incorporation</w:t>
            </w:r>
          </w:p>
          <w:p>
            <w:pPr>
              <w:pStyle w:val="TableContents"/>
              <w:bidi w:val="0"/>
              <w:spacing w:before="0" w:after="0"/>
              <w:jc w:val="left"/>
              <w:rPr>
                <w:rFonts w:ascii="Times New Roman" w:hAnsi="Times New Roman"/>
                <w:sz w:val="20"/>
              </w:rPr>
            </w:pPr>
            <w:r>
              <w:rPr>
                <w:rFonts w:ascii="Times New Roman" w:hAnsi="Times New Roman"/>
                <w:sz w:val="20"/>
              </w:rPr>
              <w:t>c. By-laws</w:t>
            </w:r>
          </w:p>
          <w:p>
            <w:pPr>
              <w:pStyle w:val="TableContents"/>
              <w:bidi w:val="0"/>
              <w:spacing w:before="0" w:after="20"/>
              <w:jc w:val="left"/>
              <w:rPr>
                <w:rFonts w:ascii="Times New Roman" w:hAnsi="Times New Roman"/>
                <w:sz w:val="20"/>
              </w:rPr>
            </w:pPr>
            <w:r>
              <w:rPr>
                <w:rFonts w:ascii="Times New Roman" w:hAnsi="Times New Roman"/>
                <w:sz w:val="20"/>
              </w:rPr>
              <w:t>d. Incumbency and signatures</w:t>
            </w:r>
          </w:p>
        </w:tc>
        <w:tc>
          <w:tcPr>
            <w:tcW w:w="122" w:type="dxa"/>
            <w:tcBorders/>
            <w:vAlign w:val="bottom"/>
          </w:tcPr>
          <w:p>
            <w:pPr>
              <w:pStyle w:val="TableContents"/>
              <w:bidi w:val="0"/>
              <w:spacing w:before="0" w:after="283"/>
              <w:jc w:val="left"/>
              <w:rPr/>
            </w:pPr>
            <w:r>
              <w:rPr/>
              <w:t>  </w:t>
            </w:r>
          </w:p>
        </w:tc>
        <w:tc>
          <w:tcPr>
            <w:tcW w:w="862" w:type="dxa"/>
            <w:tcBorders/>
          </w:tcPr>
          <w:p>
            <w:pPr>
              <w:pStyle w:val="TableContents"/>
              <w:bidi w:val="0"/>
              <w:spacing w:before="0" w:after="283"/>
              <w:jc w:val="left"/>
              <w:rPr/>
            </w:pPr>
            <w:r>
              <w:rPr/>
              <w:t>Sabre NY Counsel</w:t>
            </w:r>
          </w:p>
        </w:tc>
        <w:tc>
          <w:tcPr>
            <w:tcW w:w="122" w:type="dxa"/>
            <w:tcBorders/>
            <w:vAlign w:val="bottom"/>
          </w:tcPr>
          <w:p>
            <w:pPr>
              <w:pStyle w:val="TableContents"/>
              <w:bidi w:val="0"/>
              <w:spacing w:before="0" w:after="283"/>
              <w:jc w:val="left"/>
              <w:rPr/>
            </w:pPr>
            <w:r>
              <w:rPr/>
              <w:t>  </w:t>
            </w:r>
          </w:p>
        </w:tc>
        <w:tc>
          <w:tcPr>
            <w:tcW w:w="2492" w:type="dxa"/>
            <w:tcBorders/>
          </w:tcPr>
          <w:p>
            <w:pPr>
              <w:pStyle w:val="TableContents"/>
              <w:bidi w:val="0"/>
              <w:spacing w:before="0" w:after="283"/>
              <w:jc w:val="left"/>
              <w:rPr/>
            </w:pPr>
            <w:r>
              <w:rPr/>
              <w:t>☐ </w:t>
            </w:r>
            <w:r>
              <w:rPr/>
              <w:t>Officer of Performance Guarantor</w:t>
            </w:r>
          </w:p>
        </w:tc>
        <w:tc>
          <w:tcPr>
            <w:tcW w:w="122" w:type="dxa"/>
            <w:tcBorders/>
            <w:vAlign w:val="bottom"/>
          </w:tcPr>
          <w:p>
            <w:pPr>
              <w:pStyle w:val="TableContents"/>
              <w:bidi w:val="0"/>
              <w:spacing w:before="0" w:after="283"/>
              <w:jc w:val="left"/>
              <w:rPr/>
            </w:pPr>
            <w:r>
              <w:rPr/>
              <w:t>  </w:t>
            </w:r>
          </w:p>
        </w:tc>
        <w:tc>
          <w:tcPr>
            <w:tcW w:w="1836" w:type="dxa"/>
            <w:tcBorders/>
          </w:tcPr>
          <w:p>
            <w:pPr>
              <w:pStyle w:val="TableContents"/>
              <w:bidi w:val="0"/>
              <w:spacing w:before="0" w:after="283"/>
              <w:jc w:val="left"/>
              <w:rPr/>
            </w:pPr>
            <w:r>
              <w:rPr/>
              <w:t>Effective Date Deliverable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4939"/>
        <w:gridCol w:w="124"/>
        <w:gridCol w:w="1403"/>
        <w:gridCol w:w="124"/>
        <w:gridCol w:w="1634"/>
        <w:gridCol w:w="124"/>
        <w:gridCol w:w="1857"/>
      </w:tblGrid>
      <w:tr>
        <w:trPr/>
        <w:tc>
          <w:tcPr>
            <w:tcW w:w="493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r>
      <w:tr>
        <w:trPr/>
        <w:tc>
          <w:tcPr>
            <w:tcW w:w="4939"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Document</w:t>
            </w:r>
          </w:p>
        </w:tc>
        <w:tc>
          <w:tcPr>
            <w:tcW w:w="124" w:type="dxa"/>
            <w:tcBorders/>
            <w:vAlign w:val="bottom"/>
          </w:tcPr>
          <w:p>
            <w:pPr>
              <w:pStyle w:val="TableContents"/>
              <w:bidi w:val="0"/>
              <w:spacing w:before="0" w:after="283"/>
              <w:jc w:val="left"/>
              <w:rPr/>
            </w:pPr>
            <w:r>
              <w:rPr/>
              <w:t>  </w:t>
            </w:r>
          </w:p>
        </w:tc>
        <w:tc>
          <w:tcPr>
            <w:tcW w:w="1403"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Responsible</w:t>
            </w:r>
          </w:p>
          <w:p>
            <w:pPr>
              <w:pStyle w:val="TableContents"/>
              <w:bidi w:val="0"/>
              <w:spacing w:before="0" w:after="20"/>
              <w:jc w:val="center"/>
              <w:rPr>
                <w:rFonts w:ascii="Times New Roman" w:hAnsi="Times New Roman"/>
                <w:sz w:val="16"/>
              </w:rPr>
            </w:pPr>
            <w:r>
              <w:rPr>
                <w:rFonts w:ascii="Times New Roman" w:hAnsi="Times New Roman"/>
                <w:sz w:val="16"/>
              </w:rPr>
              <w:t>Party</w:t>
            </w:r>
          </w:p>
        </w:tc>
        <w:tc>
          <w:tcPr>
            <w:tcW w:w="124" w:type="dxa"/>
            <w:tcBorders/>
            <w:vAlign w:val="bottom"/>
          </w:tcPr>
          <w:p>
            <w:pPr>
              <w:pStyle w:val="TableContents"/>
              <w:bidi w:val="0"/>
              <w:spacing w:before="0" w:after="283"/>
              <w:jc w:val="left"/>
              <w:rPr/>
            </w:pPr>
            <w:r>
              <w:rPr/>
              <w:t>  </w:t>
            </w:r>
          </w:p>
        </w:tc>
        <w:tc>
          <w:tcPr>
            <w:tcW w:w="163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Signatures Needed</w:t>
            </w:r>
          </w:p>
        </w:tc>
        <w:tc>
          <w:tcPr>
            <w:tcW w:w="124" w:type="dxa"/>
            <w:tcBorders/>
            <w:vAlign w:val="bottom"/>
          </w:tcPr>
          <w:p>
            <w:pPr>
              <w:pStyle w:val="TableContents"/>
              <w:bidi w:val="0"/>
              <w:spacing w:before="0" w:after="283"/>
              <w:jc w:val="left"/>
              <w:rPr/>
            </w:pPr>
            <w:r>
              <w:rPr/>
              <w:t>  </w:t>
            </w:r>
          </w:p>
        </w:tc>
        <w:tc>
          <w:tcPr>
            <w:tcW w:w="185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Signing Date Deliverable</w:t>
            </w:r>
          </w:p>
          <w:p>
            <w:pPr>
              <w:pStyle w:val="TableContents"/>
              <w:bidi w:val="0"/>
              <w:spacing w:before="0" w:after="0"/>
              <w:jc w:val="center"/>
              <w:rPr>
                <w:rFonts w:ascii="Times New Roman" w:hAnsi="Times New Roman"/>
                <w:sz w:val="16"/>
              </w:rPr>
            </w:pPr>
            <w:r>
              <w:rPr>
                <w:rFonts w:ascii="Times New Roman" w:hAnsi="Times New Roman"/>
                <w:sz w:val="16"/>
              </w:rPr>
              <w:t>or Effective Date</w:t>
            </w:r>
          </w:p>
          <w:p>
            <w:pPr>
              <w:pStyle w:val="TableContents"/>
              <w:bidi w:val="0"/>
              <w:spacing w:before="0" w:after="20"/>
              <w:jc w:val="center"/>
              <w:rPr>
                <w:rFonts w:ascii="Times New Roman" w:hAnsi="Times New Roman"/>
                <w:sz w:val="16"/>
              </w:rPr>
            </w:pPr>
            <w:r>
              <w:rPr>
                <w:rFonts w:ascii="Times New Roman" w:hAnsi="Times New Roman"/>
                <w:sz w:val="16"/>
              </w:rPr>
              <w:t>Deliverable</w:t>
            </w:r>
          </w:p>
        </w:tc>
      </w:tr>
      <w:tr>
        <w:trPr/>
        <w:tc>
          <w:tcPr>
            <w:tcW w:w="4939" w:type="dxa"/>
            <w:tcBorders/>
          </w:tcPr>
          <w:p>
            <w:pPr>
              <w:pStyle w:val="TableContents"/>
              <w:bidi w:val="0"/>
              <w:spacing w:before="0" w:after="0"/>
              <w:jc w:val="left"/>
              <w:rPr>
                <w:rFonts w:ascii="Times New Roman" w:hAnsi="Times New Roman"/>
                <w:sz w:val="20"/>
              </w:rPr>
            </w:pPr>
            <w:r>
              <w:rPr>
                <w:rFonts w:ascii="Times New Roman" w:hAnsi="Times New Roman"/>
                <w:sz w:val="20"/>
              </w:rPr>
              <w:t>23.  Good Standing Certificate of Performance Guarantor from the State of Delaware</w:t>
            </w:r>
          </w:p>
        </w:tc>
        <w:tc>
          <w:tcPr>
            <w:tcW w:w="124" w:type="dxa"/>
            <w:tcBorders/>
            <w:vAlign w:val="bottom"/>
          </w:tcPr>
          <w:p>
            <w:pPr>
              <w:pStyle w:val="TableContents"/>
              <w:bidi w:val="0"/>
              <w:spacing w:before="0" w:after="283"/>
              <w:jc w:val="left"/>
              <w:rPr/>
            </w:pPr>
            <w:r>
              <w:rPr/>
              <w:t>  </w:t>
            </w:r>
          </w:p>
        </w:tc>
        <w:tc>
          <w:tcPr>
            <w:tcW w:w="1403" w:type="dxa"/>
            <w:tcBorders/>
          </w:tcPr>
          <w:p>
            <w:pPr>
              <w:pStyle w:val="TableContents"/>
              <w:bidi w:val="0"/>
              <w:spacing w:before="0" w:after="283"/>
              <w:jc w:val="left"/>
              <w:rPr/>
            </w:pPr>
            <w:r>
              <w:rPr/>
              <w:t>Sabre NY Counsel</w:t>
            </w:r>
          </w:p>
        </w:tc>
        <w:tc>
          <w:tcPr>
            <w:tcW w:w="124" w:type="dxa"/>
            <w:tcBorders/>
            <w:vAlign w:val="bottom"/>
          </w:tcPr>
          <w:p>
            <w:pPr>
              <w:pStyle w:val="TableContents"/>
              <w:bidi w:val="0"/>
              <w:spacing w:before="0" w:after="283"/>
              <w:jc w:val="left"/>
              <w:rPr/>
            </w:pPr>
            <w:r>
              <w:rPr/>
              <w:t>  </w:t>
            </w:r>
          </w:p>
        </w:tc>
        <w:tc>
          <w:tcPr>
            <w:tcW w:w="1634" w:type="dxa"/>
            <w:tcBorders/>
          </w:tcPr>
          <w:p>
            <w:pPr>
              <w:pStyle w:val="TableContents"/>
              <w:bidi w:val="0"/>
              <w:spacing w:before="0" w:after="283"/>
              <w:jc w:val="left"/>
              <w:rPr/>
            </w:pPr>
            <w:r>
              <w:rPr/>
              <w:t>N/A</w:t>
            </w:r>
          </w:p>
        </w:tc>
        <w:tc>
          <w:tcPr>
            <w:tcW w:w="124" w:type="dxa"/>
            <w:tcBorders/>
            <w:vAlign w:val="bottom"/>
          </w:tcPr>
          <w:p>
            <w:pPr>
              <w:pStyle w:val="TableContents"/>
              <w:bidi w:val="0"/>
              <w:spacing w:before="0" w:after="283"/>
              <w:jc w:val="left"/>
              <w:rPr/>
            </w:pPr>
            <w:r>
              <w:rPr/>
              <w:t>  </w:t>
            </w:r>
          </w:p>
        </w:tc>
        <w:tc>
          <w:tcPr>
            <w:tcW w:w="1857" w:type="dxa"/>
            <w:tcBorders/>
          </w:tcPr>
          <w:p>
            <w:pPr>
              <w:pStyle w:val="TableContents"/>
              <w:bidi w:val="0"/>
              <w:spacing w:before="0" w:after="283"/>
              <w:jc w:val="left"/>
              <w:rPr/>
            </w:pPr>
            <w:r>
              <w:rPr/>
              <w:t>Effective Date Deliverable</w:t>
            </w:r>
          </w:p>
        </w:tc>
      </w:tr>
      <w:tr>
        <w:trPr>
          <w:trHeight w:val="120" w:hRule="atLeast"/>
        </w:trPr>
        <w:tc>
          <w:tcPr>
            <w:tcW w:w="4939" w:type="dxa"/>
            <w:tcBorders/>
            <w:vAlign w:val="center"/>
          </w:tcPr>
          <w:p>
            <w:pPr>
              <w:pStyle w:val="TableContents"/>
              <w:bidi w:val="0"/>
              <w:spacing w:before="0" w:after="283"/>
              <w:jc w:val="left"/>
              <w:rPr>
                <w:sz w:val="4"/>
                <w:szCs w:val="4"/>
              </w:rPr>
            </w:pPr>
            <w:r>
              <w:rPr>
                <w:sz w:val="4"/>
                <w:szCs w:val="4"/>
              </w:rPr>
            </w:r>
          </w:p>
        </w:tc>
        <w:tc>
          <w:tcPr>
            <w:tcW w:w="1527" w:type="dxa"/>
            <w:gridSpan w:val="2"/>
            <w:tcBorders/>
            <w:vAlign w:val="center"/>
          </w:tcPr>
          <w:p>
            <w:pPr>
              <w:pStyle w:val="TableContents"/>
              <w:bidi w:val="0"/>
              <w:spacing w:before="0" w:after="283"/>
              <w:jc w:val="left"/>
              <w:rPr>
                <w:sz w:val="4"/>
                <w:szCs w:val="4"/>
              </w:rPr>
            </w:pPr>
            <w:r>
              <w:rPr>
                <w:sz w:val="4"/>
                <w:szCs w:val="4"/>
              </w:rPr>
            </w:r>
          </w:p>
        </w:tc>
        <w:tc>
          <w:tcPr>
            <w:tcW w:w="1758" w:type="dxa"/>
            <w:gridSpan w:val="2"/>
            <w:tcBorders/>
            <w:vAlign w:val="center"/>
          </w:tcPr>
          <w:p>
            <w:pPr>
              <w:pStyle w:val="TableContents"/>
              <w:bidi w:val="0"/>
              <w:spacing w:before="0" w:after="283"/>
              <w:jc w:val="left"/>
              <w:rPr>
                <w:sz w:val="4"/>
                <w:szCs w:val="4"/>
              </w:rPr>
            </w:pPr>
            <w:r>
              <w:rPr>
                <w:sz w:val="4"/>
                <w:szCs w:val="4"/>
              </w:rPr>
            </w:r>
          </w:p>
        </w:tc>
        <w:tc>
          <w:tcPr>
            <w:tcW w:w="1981" w:type="dxa"/>
            <w:gridSpan w:val="2"/>
            <w:tcBorders/>
            <w:vAlign w:val="center"/>
          </w:tcPr>
          <w:p>
            <w:pPr>
              <w:pStyle w:val="TableContents"/>
              <w:bidi w:val="0"/>
              <w:spacing w:before="0" w:after="283"/>
              <w:jc w:val="left"/>
              <w:rPr>
                <w:sz w:val="4"/>
                <w:szCs w:val="4"/>
              </w:rPr>
            </w:pPr>
            <w:r>
              <w:rPr>
                <w:sz w:val="4"/>
                <w:szCs w:val="4"/>
              </w:rPr>
            </w:r>
          </w:p>
        </w:tc>
      </w:tr>
      <w:tr>
        <w:trPr/>
        <w:tc>
          <w:tcPr>
            <w:tcW w:w="4939" w:type="dxa"/>
            <w:tcBorders/>
          </w:tcPr>
          <w:p>
            <w:pPr>
              <w:pStyle w:val="TableContents"/>
              <w:bidi w:val="0"/>
              <w:spacing w:before="0" w:after="0"/>
              <w:jc w:val="left"/>
              <w:rPr>
                <w:rFonts w:ascii="Times New Roman" w:hAnsi="Times New Roman"/>
                <w:sz w:val="20"/>
              </w:rPr>
            </w:pPr>
            <w:r>
              <w:rPr>
                <w:rFonts w:ascii="Times New Roman" w:hAnsi="Times New Roman"/>
                <w:sz w:val="20"/>
              </w:rPr>
              <w:t>24.  Officer’s Certificate of the SPE</w:t>
            </w:r>
          </w:p>
          <w:p>
            <w:pPr>
              <w:pStyle w:val="TableContents"/>
              <w:bidi w:val="0"/>
              <w:spacing w:before="0" w:after="0"/>
              <w:jc w:val="left"/>
              <w:rPr>
                <w:rFonts w:ascii="Times New Roman" w:hAnsi="Times New Roman"/>
                <w:sz w:val="20"/>
              </w:rPr>
            </w:pPr>
            <w:r>
              <w:rPr>
                <w:rFonts w:ascii="Times New Roman" w:hAnsi="Times New Roman"/>
                <w:sz w:val="20"/>
              </w:rPr>
              <w:t>a. Authorizing Resolutions</w:t>
            </w:r>
          </w:p>
          <w:p>
            <w:pPr>
              <w:pStyle w:val="TableContents"/>
              <w:bidi w:val="0"/>
              <w:spacing w:before="0" w:after="0"/>
              <w:jc w:val="left"/>
              <w:rPr>
                <w:rFonts w:ascii="Times New Roman" w:hAnsi="Times New Roman"/>
                <w:sz w:val="20"/>
              </w:rPr>
            </w:pPr>
            <w:r>
              <w:rPr>
                <w:rFonts w:ascii="Times New Roman" w:hAnsi="Times New Roman"/>
                <w:sz w:val="20"/>
              </w:rPr>
              <w:t>b. Limited Liability Company Agreement</w:t>
            </w:r>
          </w:p>
          <w:p>
            <w:pPr>
              <w:pStyle w:val="TableContents"/>
              <w:bidi w:val="0"/>
              <w:spacing w:before="0" w:after="0"/>
              <w:jc w:val="left"/>
              <w:rPr>
                <w:rFonts w:ascii="Times New Roman" w:hAnsi="Times New Roman"/>
                <w:sz w:val="20"/>
              </w:rPr>
            </w:pPr>
            <w:r>
              <w:rPr>
                <w:rFonts w:ascii="Times New Roman" w:hAnsi="Times New Roman"/>
                <w:sz w:val="20"/>
              </w:rPr>
              <w:t>c. Certificate of Formation</w:t>
            </w:r>
          </w:p>
          <w:p>
            <w:pPr>
              <w:pStyle w:val="TableContents"/>
              <w:bidi w:val="0"/>
              <w:spacing w:before="0" w:after="0"/>
              <w:jc w:val="left"/>
              <w:rPr>
                <w:rFonts w:ascii="Times New Roman" w:hAnsi="Times New Roman"/>
                <w:sz w:val="20"/>
              </w:rPr>
            </w:pPr>
            <w:r>
              <w:rPr>
                <w:rFonts w:ascii="Times New Roman" w:hAnsi="Times New Roman"/>
                <w:sz w:val="20"/>
              </w:rPr>
              <w:t>d. Incumbency and signatures</w:t>
            </w:r>
          </w:p>
          <w:p>
            <w:pPr>
              <w:pStyle w:val="TableContents"/>
              <w:bidi w:val="0"/>
              <w:spacing w:before="0" w:after="20"/>
              <w:jc w:val="left"/>
              <w:rPr>
                <w:rFonts w:ascii="Times New Roman" w:hAnsi="Times New Roman"/>
                <w:sz w:val="20"/>
              </w:rPr>
            </w:pPr>
            <w:r>
              <w:rPr>
                <w:rFonts w:ascii="Times New Roman" w:hAnsi="Times New Roman"/>
                <w:sz w:val="20"/>
              </w:rPr>
              <w:t>e. Singapore Power of Attorney</w:t>
            </w:r>
          </w:p>
        </w:tc>
        <w:tc>
          <w:tcPr>
            <w:tcW w:w="124" w:type="dxa"/>
            <w:tcBorders/>
            <w:vAlign w:val="bottom"/>
          </w:tcPr>
          <w:p>
            <w:pPr>
              <w:pStyle w:val="TableContents"/>
              <w:bidi w:val="0"/>
              <w:spacing w:before="0" w:after="283"/>
              <w:jc w:val="left"/>
              <w:rPr/>
            </w:pPr>
            <w:r>
              <w:rPr/>
              <w:t>  </w:t>
            </w:r>
          </w:p>
        </w:tc>
        <w:tc>
          <w:tcPr>
            <w:tcW w:w="1403" w:type="dxa"/>
            <w:tcBorders/>
          </w:tcPr>
          <w:p>
            <w:pPr>
              <w:pStyle w:val="TableContents"/>
              <w:bidi w:val="0"/>
              <w:spacing w:before="0" w:after="283"/>
              <w:jc w:val="left"/>
              <w:rPr/>
            </w:pPr>
            <w:r>
              <w:rPr/>
              <w:t>Sabre NY Counsel</w:t>
            </w:r>
          </w:p>
        </w:tc>
        <w:tc>
          <w:tcPr>
            <w:tcW w:w="124" w:type="dxa"/>
            <w:tcBorders/>
            <w:vAlign w:val="bottom"/>
          </w:tcPr>
          <w:p>
            <w:pPr>
              <w:pStyle w:val="TableContents"/>
              <w:bidi w:val="0"/>
              <w:spacing w:before="0" w:after="283"/>
              <w:jc w:val="left"/>
              <w:rPr/>
            </w:pPr>
            <w:r>
              <w:rPr/>
              <w:t>  </w:t>
            </w:r>
          </w:p>
        </w:tc>
        <w:tc>
          <w:tcPr>
            <w:tcW w:w="1634" w:type="dxa"/>
            <w:tcBorders/>
          </w:tcPr>
          <w:p>
            <w:pPr>
              <w:pStyle w:val="TableContents"/>
              <w:bidi w:val="0"/>
              <w:spacing w:before="0" w:after="283"/>
              <w:jc w:val="left"/>
              <w:rPr/>
            </w:pPr>
            <w:r>
              <w:rPr/>
              <w:t xml:space="preserve">☐ </w:t>
            </w:r>
            <w:r>
              <w:rPr/>
              <w:t>SPE</w:t>
            </w:r>
          </w:p>
        </w:tc>
        <w:tc>
          <w:tcPr>
            <w:tcW w:w="124" w:type="dxa"/>
            <w:tcBorders/>
            <w:vAlign w:val="bottom"/>
          </w:tcPr>
          <w:p>
            <w:pPr>
              <w:pStyle w:val="TableContents"/>
              <w:bidi w:val="0"/>
              <w:spacing w:before="0" w:after="283"/>
              <w:jc w:val="left"/>
              <w:rPr/>
            </w:pPr>
            <w:r>
              <w:rPr/>
              <w:t>  </w:t>
            </w:r>
          </w:p>
        </w:tc>
        <w:tc>
          <w:tcPr>
            <w:tcW w:w="1857" w:type="dxa"/>
            <w:tcBorders/>
          </w:tcPr>
          <w:p>
            <w:pPr>
              <w:pStyle w:val="TableContents"/>
              <w:bidi w:val="0"/>
              <w:spacing w:before="0" w:after="283"/>
              <w:jc w:val="left"/>
              <w:rPr/>
            </w:pPr>
            <w:r>
              <w:rPr/>
              <w:t>Effective Date Deliverable</w:t>
            </w:r>
          </w:p>
        </w:tc>
      </w:tr>
      <w:tr>
        <w:trPr>
          <w:trHeight w:val="120" w:hRule="atLeast"/>
        </w:trPr>
        <w:tc>
          <w:tcPr>
            <w:tcW w:w="4939" w:type="dxa"/>
            <w:tcBorders/>
            <w:vAlign w:val="center"/>
          </w:tcPr>
          <w:p>
            <w:pPr>
              <w:pStyle w:val="TableContents"/>
              <w:bidi w:val="0"/>
              <w:spacing w:before="0" w:after="283"/>
              <w:jc w:val="left"/>
              <w:rPr>
                <w:sz w:val="4"/>
                <w:szCs w:val="4"/>
              </w:rPr>
            </w:pPr>
            <w:r>
              <w:rPr>
                <w:sz w:val="4"/>
                <w:szCs w:val="4"/>
              </w:rPr>
            </w:r>
          </w:p>
        </w:tc>
        <w:tc>
          <w:tcPr>
            <w:tcW w:w="1527" w:type="dxa"/>
            <w:gridSpan w:val="2"/>
            <w:tcBorders/>
            <w:vAlign w:val="center"/>
          </w:tcPr>
          <w:p>
            <w:pPr>
              <w:pStyle w:val="TableContents"/>
              <w:bidi w:val="0"/>
              <w:spacing w:before="0" w:after="283"/>
              <w:jc w:val="left"/>
              <w:rPr>
                <w:sz w:val="4"/>
                <w:szCs w:val="4"/>
              </w:rPr>
            </w:pPr>
            <w:r>
              <w:rPr>
                <w:sz w:val="4"/>
                <w:szCs w:val="4"/>
              </w:rPr>
            </w:r>
          </w:p>
        </w:tc>
        <w:tc>
          <w:tcPr>
            <w:tcW w:w="1758" w:type="dxa"/>
            <w:gridSpan w:val="2"/>
            <w:tcBorders/>
            <w:vAlign w:val="center"/>
          </w:tcPr>
          <w:p>
            <w:pPr>
              <w:pStyle w:val="TableContents"/>
              <w:bidi w:val="0"/>
              <w:spacing w:before="0" w:after="283"/>
              <w:jc w:val="left"/>
              <w:rPr>
                <w:sz w:val="4"/>
                <w:szCs w:val="4"/>
              </w:rPr>
            </w:pPr>
            <w:r>
              <w:rPr>
                <w:sz w:val="4"/>
                <w:szCs w:val="4"/>
              </w:rPr>
            </w:r>
          </w:p>
        </w:tc>
        <w:tc>
          <w:tcPr>
            <w:tcW w:w="1981" w:type="dxa"/>
            <w:gridSpan w:val="2"/>
            <w:tcBorders/>
            <w:vAlign w:val="center"/>
          </w:tcPr>
          <w:p>
            <w:pPr>
              <w:pStyle w:val="TableContents"/>
              <w:bidi w:val="0"/>
              <w:spacing w:before="0" w:after="283"/>
              <w:jc w:val="left"/>
              <w:rPr>
                <w:sz w:val="4"/>
                <w:szCs w:val="4"/>
              </w:rPr>
            </w:pPr>
            <w:r>
              <w:rPr>
                <w:sz w:val="4"/>
                <w:szCs w:val="4"/>
              </w:rPr>
            </w:r>
          </w:p>
        </w:tc>
      </w:tr>
      <w:tr>
        <w:trPr/>
        <w:tc>
          <w:tcPr>
            <w:tcW w:w="4939" w:type="dxa"/>
            <w:tcBorders/>
          </w:tcPr>
          <w:p>
            <w:pPr>
              <w:pStyle w:val="TableContents"/>
              <w:bidi w:val="0"/>
              <w:spacing w:before="0" w:after="0"/>
              <w:jc w:val="left"/>
              <w:rPr>
                <w:rFonts w:ascii="Times New Roman" w:hAnsi="Times New Roman"/>
                <w:sz w:val="20"/>
              </w:rPr>
            </w:pPr>
            <w:r>
              <w:rPr>
                <w:rFonts w:ascii="Times New Roman" w:hAnsi="Times New Roman"/>
                <w:sz w:val="20"/>
              </w:rPr>
              <w:t>25.  Good Standing Certificate of SPE from the State of Delaware</w:t>
            </w:r>
          </w:p>
        </w:tc>
        <w:tc>
          <w:tcPr>
            <w:tcW w:w="124" w:type="dxa"/>
            <w:tcBorders/>
            <w:vAlign w:val="bottom"/>
          </w:tcPr>
          <w:p>
            <w:pPr>
              <w:pStyle w:val="TableContents"/>
              <w:bidi w:val="0"/>
              <w:spacing w:before="0" w:after="283"/>
              <w:jc w:val="left"/>
              <w:rPr/>
            </w:pPr>
            <w:r>
              <w:rPr/>
              <w:t>  </w:t>
            </w:r>
          </w:p>
        </w:tc>
        <w:tc>
          <w:tcPr>
            <w:tcW w:w="1403" w:type="dxa"/>
            <w:tcBorders/>
          </w:tcPr>
          <w:p>
            <w:pPr>
              <w:pStyle w:val="TableContents"/>
              <w:bidi w:val="0"/>
              <w:spacing w:before="0" w:after="283"/>
              <w:jc w:val="left"/>
              <w:rPr/>
            </w:pPr>
            <w:r>
              <w:rPr/>
              <w:t>Sabre NY Counsel</w:t>
            </w:r>
          </w:p>
        </w:tc>
        <w:tc>
          <w:tcPr>
            <w:tcW w:w="124" w:type="dxa"/>
            <w:tcBorders/>
            <w:vAlign w:val="bottom"/>
          </w:tcPr>
          <w:p>
            <w:pPr>
              <w:pStyle w:val="TableContents"/>
              <w:bidi w:val="0"/>
              <w:spacing w:before="0" w:after="283"/>
              <w:jc w:val="left"/>
              <w:rPr/>
            </w:pPr>
            <w:r>
              <w:rPr/>
              <w:t>  </w:t>
            </w:r>
          </w:p>
        </w:tc>
        <w:tc>
          <w:tcPr>
            <w:tcW w:w="1634" w:type="dxa"/>
            <w:tcBorders/>
          </w:tcPr>
          <w:p>
            <w:pPr>
              <w:pStyle w:val="TableContents"/>
              <w:bidi w:val="0"/>
              <w:spacing w:before="0" w:after="283"/>
              <w:jc w:val="left"/>
              <w:rPr/>
            </w:pPr>
            <w:r>
              <w:rPr/>
              <w:t>N/A</w:t>
            </w:r>
          </w:p>
        </w:tc>
        <w:tc>
          <w:tcPr>
            <w:tcW w:w="124" w:type="dxa"/>
            <w:tcBorders/>
            <w:vAlign w:val="bottom"/>
          </w:tcPr>
          <w:p>
            <w:pPr>
              <w:pStyle w:val="TableContents"/>
              <w:bidi w:val="0"/>
              <w:spacing w:before="0" w:after="283"/>
              <w:jc w:val="left"/>
              <w:rPr/>
            </w:pPr>
            <w:r>
              <w:rPr/>
              <w:t>  </w:t>
            </w:r>
          </w:p>
        </w:tc>
        <w:tc>
          <w:tcPr>
            <w:tcW w:w="1857" w:type="dxa"/>
            <w:tcBorders/>
          </w:tcPr>
          <w:p>
            <w:pPr>
              <w:pStyle w:val="TableContents"/>
              <w:bidi w:val="0"/>
              <w:spacing w:before="0" w:after="283"/>
              <w:jc w:val="left"/>
              <w:rPr/>
            </w:pPr>
            <w:r>
              <w:rPr/>
              <w:t>Effective Date Deliverable</w:t>
            </w:r>
          </w:p>
        </w:tc>
      </w:tr>
      <w:tr>
        <w:trPr>
          <w:trHeight w:val="120" w:hRule="atLeast"/>
        </w:trPr>
        <w:tc>
          <w:tcPr>
            <w:tcW w:w="4939" w:type="dxa"/>
            <w:tcBorders/>
            <w:vAlign w:val="center"/>
          </w:tcPr>
          <w:p>
            <w:pPr>
              <w:pStyle w:val="TableContents"/>
              <w:bidi w:val="0"/>
              <w:spacing w:before="0" w:after="283"/>
              <w:jc w:val="left"/>
              <w:rPr>
                <w:sz w:val="4"/>
                <w:szCs w:val="4"/>
              </w:rPr>
            </w:pPr>
            <w:r>
              <w:rPr>
                <w:sz w:val="4"/>
                <w:szCs w:val="4"/>
              </w:rPr>
            </w:r>
          </w:p>
        </w:tc>
        <w:tc>
          <w:tcPr>
            <w:tcW w:w="1527" w:type="dxa"/>
            <w:gridSpan w:val="2"/>
            <w:tcBorders/>
            <w:vAlign w:val="center"/>
          </w:tcPr>
          <w:p>
            <w:pPr>
              <w:pStyle w:val="TableContents"/>
              <w:bidi w:val="0"/>
              <w:spacing w:before="0" w:after="283"/>
              <w:jc w:val="left"/>
              <w:rPr>
                <w:sz w:val="4"/>
                <w:szCs w:val="4"/>
              </w:rPr>
            </w:pPr>
            <w:r>
              <w:rPr>
                <w:sz w:val="4"/>
                <w:szCs w:val="4"/>
              </w:rPr>
            </w:r>
          </w:p>
        </w:tc>
        <w:tc>
          <w:tcPr>
            <w:tcW w:w="1758" w:type="dxa"/>
            <w:gridSpan w:val="2"/>
            <w:tcBorders/>
            <w:vAlign w:val="center"/>
          </w:tcPr>
          <w:p>
            <w:pPr>
              <w:pStyle w:val="TableContents"/>
              <w:bidi w:val="0"/>
              <w:spacing w:before="0" w:after="283"/>
              <w:jc w:val="left"/>
              <w:rPr>
                <w:sz w:val="4"/>
                <w:szCs w:val="4"/>
              </w:rPr>
            </w:pPr>
            <w:r>
              <w:rPr>
                <w:sz w:val="4"/>
                <w:szCs w:val="4"/>
              </w:rPr>
            </w:r>
          </w:p>
        </w:tc>
        <w:tc>
          <w:tcPr>
            <w:tcW w:w="1981" w:type="dxa"/>
            <w:gridSpan w:val="2"/>
            <w:tcBorders/>
            <w:vAlign w:val="center"/>
          </w:tcPr>
          <w:p>
            <w:pPr>
              <w:pStyle w:val="TableContents"/>
              <w:bidi w:val="0"/>
              <w:spacing w:before="0" w:after="283"/>
              <w:jc w:val="left"/>
              <w:rPr>
                <w:sz w:val="4"/>
                <w:szCs w:val="4"/>
              </w:rPr>
            </w:pPr>
            <w:r>
              <w:rPr>
                <w:sz w:val="4"/>
                <w:szCs w:val="4"/>
              </w:rPr>
            </w:r>
          </w:p>
        </w:tc>
      </w:tr>
      <w:tr>
        <w:trPr/>
        <w:tc>
          <w:tcPr>
            <w:tcW w:w="4939" w:type="dxa"/>
            <w:tcBorders/>
          </w:tcPr>
          <w:p>
            <w:pPr>
              <w:pStyle w:val="TableContents"/>
              <w:bidi w:val="0"/>
              <w:spacing w:before="0" w:after="0"/>
              <w:jc w:val="left"/>
              <w:rPr>
                <w:rFonts w:ascii="Times New Roman" w:hAnsi="Times New Roman"/>
                <w:sz w:val="20"/>
              </w:rPr>
            </w:pPr>
            <w:r>
              <w:rPr>
                <w:rFonts w:ascii="Times New Roman" w:hAnsi="Times New Roman"/>
                <w:sz w:val="20"/>
              </w:rPr>
              <w:t>26.  Officer’s Certificate of SG Originator / SG Servicer as to the following (or local equivalent):</w:t>
            </w:r>
          </w:p>
          <w:p>
            <w:pPr>
              <w:pStyle w:val="TableContents"/>
              <w:bidi w:val="0"/>
              <w:spacing w:before="0" w:after="0"/>
              <w:jc w:val="left"/>
              <w:rPr>
                <w:rFonts w:ascii="Times New Roman" w:hAnsi="Times New Roman"/>
                <w:sz w:val="20"/>
              </w:rPr>
            </w:pPr>
            <w:r>
              <w:rPr>
                <w:rFonts w:ascii="Times New Roman" w:hAnsi="Times New Roman"/>
                <w:sz w:val="20"/>
              </w:rPr>
              <w:t>a. Directors’ Resolutions/Shareholders’ resolutions</w:t>
            </w:r>
          </w:p>
          <w:p>
            <w:pPr>
              <w:pStyle w:val="TableContents"/>
              <w:bidi w:val="0"/>
              <w:spacing w:before="0" w:after="0"/>
              <w:jc w:val="left"/>
              <w:rPr>
                <w:rFonts w:ascii="Times New Roman" w:hAnsi="Times New Roman"/>
                <w:sz w:val="20"/>
              </w:rPr>
            </w:pPr>
            <w:r>
              <w:rPr>
                <w:rFonts w:ascii="Times New Roman" w:hAnsi="Times New Roman"/>
                <w:sz w:val="20"/>
              </w:rPr>
              <w:t>b. Certificate of Incorporation / Certificates on Change of Name</w:t>
            </w:r>
          </w:p>
          <w:p>
            <w:pPr>
              <w:pStyle w:val="TableContents"/>
              <w:bidi w:val="0"/>
              <w:spacing w:before="0" w:after="0"/>
              <w:jc w:val="left"/>
              <w:rPr>
                <w:rFonts w:ascii="Times New Roman" w:hAnsi="Times New Roman"/>
                <w:sz w:val="20"/>
              </w:rPr>
            </w:pPr>
            <w:r>
              <w:rPr>
                <w:rFonts w:ascii="Times New Roman" w:hAnsi="Times New Roman"/>
                <w:sz w:val="20"/>
              </w:rPr>
              <w:t>c. Articles of Association</w:t>
            </w:r>
          </w:p>
          <w:p>
            <w:pPr>
              <w:pStyle w:val="TableContents"/>
              <w:bidi w:val="0"/>
              <w:spacing w:before="0" w:after="0"/>
              <w:jc w:val="left"/>
              <w:rPr>
                <w:rFonts w:ascii="Times New Roman" w:hAnsi="Times New Roman"/>
                <w:sz w:val="20"/>
              </w:rPr>
            </w:pPr>
            <w:r>
              <w:rPr>
                <w:rFonts w:ascii="Times New Roman" w:hAnsi="Times New Roman"/>
                <w:sz w:val="20"/>
              </w:rPr>
              <w:t>d. Incumbency and signatures</w:t>
            </w:r>
          </w:p>
          <w:p>
            <w:pPr>
              <w:pStyle w:val="TableContents"/>
              <w:bidi w:val="0"/>
              <w:spacing w:before="0" w:after="0"/>
              <w:jc w:val="left"/>
              <w:rPr>
                <w:rFonts w:ascii="Times New Roman" w:hAnsi="Times New Roman"/>
                <w:sz w:val="20"/>
              </w:rPr>
            </w:pPr>
            <w:r>
              <w:rPr>
                <w:rFonts w:ascii="Times New Roman" w:hAnsi="Times New Roman"/>
                <w:sz w:val="20"/>
              </w:rPr>
              <w:t>e. Solvency</w:t>
            </w:r>
          </w:p>
          <w:p>
            <w:pPr>
              <w:pStyle w:val="TableContents"/>
              <w:bidi w:val="0"/>
              <w:spacing w:before="0" w:after="20"/>
              <w:jc w:val="left"/>
              <w:rPr>
                <w:rFonts w:ascii="Times New Roman" w:hAnsi="Times New Roman"/>
                <w:sz w:val="20"/>
              </w:rPr>
            </w:pPr>
            <w:r>
              <w:rPr>
                <w:rFonts w:ascii="Times New Roman" w:hAnsi="Times New Roman"/>
                <w:sz w:val="20"/>
              </w:rPr>
              <w:t>f. Singapore Power of Attorney</w:t>
            </w:r>
          </w:p>
        </w:tc>
        <w:tc>
          <w:tcPr>
            <w:tcW w:w="124" w:type="dxa"/>
            <w:tcBorders/>
            <w:vAlign w:val="bottom"/>
          </w:tcPr>
          <w:p>
            <w:pPr>
              <w:pStyle w:val="TableContents"/>
              <w:bidi w:val="0"/>
              <w:spacing w:before="0" w:after="283"/>
              <w:jc w:val="left"/>
              <w:rPr/>
            </w:pPr>
            <w:r>
              <w:rPr/>
              <w:t>  </w:t>
            </w:r>
          </w:p>
        </w:tc>
        <w:tc>
          <w:tcPr>
            <w:tcW w:w="1403" w:type="dxa"/>
            <w:tcBorders/>
          </w:tcPr>
          <w:p>
            <w:pPr>
              <w:pStyle w:val="TableContents"/>
              <w:bidi w:val="0"/>
              <w:spacing w:before="0" w:after="283"/>
              <w:jc w:val="left"/>
              <w:rPr/>
            </w:pPr>
            <w:r>
              <w:rPr/>
              <w:t>Sabre SG Counsel</w:t>
            </w:r>
          </w:p>
        </w:tc>
        <w:tc>
          <w:tcPr>
            <w:tcW w:w="124" w:type="dxa"/>
            <w:tcBorders/>
            <w:vAlign w:val="bottom"/>
          </w:tcPr>
          <w:p>
            <w:pPr>
              <w:pStyle w:val="TableContents"/>
              <w:bidi w:val="0"/>
              <w:spacing w:before="0" w:after="283"/>
              <w:jc w:val="left"/>
              <w:rPr/>
            </w:pPr>
            <w:r>
              <w:rPr/>
              <w:t>  </w:t>
            </w:r>
          </w:p>
        </w:tc>
        <w:tc>
          <w:tcPr>
            <w:tcW w:w="1634" w:type="dxa"/>
            <w:tcBorders/>
          </w:tcPr>
          <w:p>
            <w:pPr>
              <w:pStyle w:val="TableContents"/>
              <w:bidi w:val="0"/>
              <w:spacing w:before="0" w:after="283"/>
              <w:jc w:val="left"/>
              <w:rPr/>
            </w:pPr>
            <w:r>
              <w:rPr/>
              <w:t>☐ </w:t>
            </w:r>
            <w:r>
              <w:rPr/>
              <w:t>Officer of SG Originator</w:t>
            </w:r>
          </w:p>
        </w:tc>
        <w:tc>
          <w:tcPr>
            <w:tcW w:w="124" w:type="dxa"/>
            <w:tcBorders/>
            <w:vAlign w:val="bottom"/>
          </w:tcPr>
          <w:p>
            <w:pPr>
              <w:pStyle w:val="TableContents"/>
              <w:bidi w:val="0"/>
              <w:spacing w:before="0" w:after="283"/>
              <w:jc w:val="left"/>
              <w:rPr/>
            </w:pPr>
            <w:r>
              <w:rPr/>
              <w:t>  </w:t>
            </w:r>
          </w:p>
        </w:tc>
        <w:tc>
          <w:tcPr>
            <w:tcW w:w="1857" w:type="dxa"/>
            <w:tcBorders/>
          </w:tcPr>
          <w:p>
            <w:pPr>
              <w:pStyle w:val="TableContents"/>
              <w:bidi w:val="0"/>
              <w:spacing w:before="0" w:after="283"/>
              <w:jc w:val="left"/>
              <w:rPr/>
            </w:pPr>
            <w:r>
              <w:rPr/>
              <w:t>Effective Date Deliverable</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tcPr>
          <w:p>
            <w:pPr>
              <w:pStyle w:val="TableContents"/>
              <w:bidi w:val="0"/>
              <w:spacing w:before="0" w:after="283"/>
              <w:jc w:val="left"/>
              <w:rPr>
                <w:b/>
              </w:rPr>
            </w:pPr>
            <w:r>
              <w:rPr>
                <w:b/>
              </w:rPr>
              <w:t>E. MISCELLANEOUS</w:t>
            </w:r>
          </w:p>
        </w:tc>
      </w:tr>
      <w:tr>
        <w:trPr>
          <w:trHeight w:val="120" w:hRule="atLeast"/>
        </w:trPr>
        <w:tc>
          <w:tcPr>
            <w:tcW w:w="4939" w:type="dxa"/>
            <w:tcBorders/>
            <w:vAlign w:val="center"/>
          </w:tcPr>
          <w:p>
            <w:pPr>
              <w:pStyle w:val="TableContents"/>
              <w:bidi w:val="0"/>
              <w:spacing w:before="0" w:after="283"/>
              <w:jc w:val="left"/>
              <w:rPr>
                <w:sz w:val="4"/>
                <w:szCs w:val="4"/>
              </w:rPr>
            </w:pPr>
            <w:r>
              <w:rPr>
                <w:sz w:val="4"/>
                <w:szCs w:val="4"/>
              </w:rPr>
            </w:r>
          </w:p>
        </w:tc>
        <w:tc>
          <w:tcPr>
            <w:tcW w:w="1527" w:type="dxa"/>
            <w:gridSpan w:val="2"/>
            <w:tcBorders/>
            <w:vAlign w:val="center"/>
          </w:tcPr>
          <w:p>
            <w:pPr>
              <w:pStyle w:val="TableContents"/>
              <w:bidi w:val="0"/>
              <w:spacing w:before="0" w:after="283"/>
              <w:jc w:val="left"/>
              <w:rPr>
                <w:sz w:val="4"/>
                <w:szCs w:val="4"/>
              </w:rPr>
            </w:pPr>
            <w:r>
              <w:rPr>
                <w:sz w:val="4"/>
                <w:szCs w:val="4"/>
              </w:rPr>
            </w:r>
          </w:p>
        </w:tc>
        <w:tc>
          <w:tcPr>
            <w:tcW w:w="1758" w:type="dxa"/>
            <w:gridSpan w:val="2"/>
            <w:tcBorders/>
            <w:vAlign w:val="center"/>
          </w:tcPr>
          <w:p>
            <w:pPr>
              <w:pStyle w:val="TableContents"/>
              <w:bidi w:val="0"/>
              <w:spacing w:before="0" w:after="283"/>
              <w:jc w:val="left"/>
              <w:rPr>
                <w:sz w:val="4"/>
                <w:szCs w:val="4"/>
              </w:rPr>
            </w:pPr>
            <w:r>
              <w:rPr>
                <w:sz w:val="4"/>
                <w:szCs w:val="4"/>
              </w:rPr>
            </w:r>
          </w:p>
        </w:tc>
        <w:tc>
          <w:tcPr>
            <w:tcW w:w="1981" w:type="dxa"/>
            <w:gridSpan w:val="2"/>
            <w:tcBorders/>
            <w:vAlign w:val="center"/>
          </w:tcPr>
          <w:p>
            <w:pPr>
              <w:pStyle w:val="TableContents"/>
              <w:bidi w:val="0"/>
              <w:spacing w:before="0" w:after="283"/>
              <w:jc w:val="left"/>
              <w:rPr>
                <w:sz w:val="4"/>
                <w:szCs w:val="4"/>
              </w:rPr>
            </w:pPr>
            <w:r>
              <w:rPr>
                <w:sz w:val="4"/>
                <w:szCs w:val="4"/>
              </w:rPr>
            </w:r>
          </w:p>
        </w:tc>
      </w:tr>
      <w:tr>
        <w:trPr/>
        <w:tc>
          <w:tcPr>
            <w:tcW w:w="4939" w:type="dxa"/>
            <w:tcBorders/>
          </w:tcPr>
          <w:p>
            <w:pPr>
              <w:pStyle w:val="TableContents"/>
              <w:bidi w:val="0"/>
              <w:spacing w:before="0" w:after="0"/>
              <w:jc w:val="left"/>
              <w:rPr>
                <w:rFonts w:ascii="Times New Roman" w:hAnsi="Times New Roman"/>
                <w:sz w:val="20"/>
              </w:rPr>
            </w:pPr>
            <w:r>
              <w:rPr>
                <w:rFonts w:ascii="Times New Roman" w:hAnsi="Times New Roman"/>
                <w:sz w:val="20"/>
              </w:rPr>
              <w:t>27.  Appointment of a Process Agent for the SPE in Singapore</w:t>
            </w:r>
          </w:p>
        </w:tc>
        <w:tc>
          <w:tcPr>
            <w:tcW w:w="124" w:type="dxa"/>
            <w:tcBorders/>
            <w:vAlign w:val="bottom"/>
          </w:tcPr>
          <w:p>
            <w:pPr>
              <w:pStyle w:val="TableContents"/>
              <w:bidi w:val="0"/>
              <w:spacing w:before="0" w:after="283"/>
              <w:jc w:val="left"/>
              <w:rPr/>
            </w:pPr>
            <w:r>
              <w:rPr/>
              <w:t>  </w:t>
            </w:r>
          </w:p>
        </w:tc>
        <w:tc>
          <w:tcPr>
            <w:tcW w:w="1403" w:type="dxa"/>
            <w:tcBorders/>
          </w:tcPr>
          <w:p>
            <w:pPr>
              <w:pStyle w:val="TableContents"/>
              <w:bidi w:val="0"/>
              <w:spacing w:before="0" w:after="283"/>
              <w:jc w:val="left"/>
              <w:rPr/>
            </w:pPr>
            <w:r>
              <w:rPr/>
              <w:t>Sabre SG Counsel</w:t>
            </w:r>
          </w:p>
        </w:tc>
        <w:tc>
          <w:tcPr>
            <w:tcW w:w="124" w:type="dxa"/>
            <w:tcBorders/>
            <w:vAlign w:val="bottom"/>
          </w:tcPr>
          <w:p>
            <w:pPr>
              <w:pStyle w:val="TableContents"/>
              <w:bidi w:val="0"/>
              <w:spacing w:before="0" w:after="283"/>
              <w:jc w:val="left"/>
              <w:rPr/>
            </w:pPr>
            <w:r>
              <w:rPr/>
              <w:t>  </w:t>
            </w:r>
          </w:p>
        </w:tc>
        <w:tc>
          <w:tcPr>
            <w:tcW w:w="1634" w:type="dxa"/>
            <w:tcBorders/>
          </w:tcPr>
          <w:p>
            <w:pPr>
              <w:pStyle w:val="TableContents"/>
              <w:bidi w:val="0"/>
              <w:spacing w:before="0" w:after="0"/>
              <w:jc w:val="left"/>
              <w:rPr/>
            </w:pPr>
            <w:r>
              <w:rPr/>
              <w:t xml:space="preserve">☐ </w:t>
            </w:r>
            <w:r>
              <w:rPr>
                <w:rFonts w:ascii="Times New Roman" w:hAnsi="Times New Roman"/>
                <w:sz w:val="20"/>
              </w:rPr>
              <w:t>SPE</w:t>
            </w:r>
          </w:p>
          <w:p>
            <w:pPr>
              <w:pStyle w:val="TableContents"/>
              <w:bidi w:val="0"/>
              <w:spacing w:before="0" w:after="20"/>
              <w:jc w:val="left"/>
              <w:rPr/>
            </w:pPr>
            <w:r>
              <w:rPr/>
              <w:t xml:space="preserve">☐ </w:t>
            </w:r>
            <w:r>
              <w:rPr>
                <w:rFonts w:ascii="Times New Roman" w:hAnsi="Times New Roman"/>
                <w:sz w:val="20"/>
              </w:rPr>
              <w:t>Process Agent</w:t>
            </w:r>
          </w:p>
        </w:tc>
        <w:tc>
          <w:tcPr>
            <w:tcW w:w="124" w:type="dxa"/>
            <w:tcBorders/>
            <w:vAlign w:val="bottom"/>
          </w:tcPr>
          <w:p>
            <w:pPr>
              <w:pStyle w:val="TableContents"/>
              <w:bidi w:val="0"/>
              <w:spacing w:before="0" w:after="283"/>
              <w:jc w:val="left"/>
              <w:rPr/>
            </w:pPr>
            <w:r>
              <w:rPr/>
              <w:t>  </w:t>
            </w:r>
          </w:p>
        </w:tc>
        <w:tc>
          <w:tcPr>
            <w:tcW w:w="1857" w:type="dxa"/>
            <w:tcBorders/>
          </w:tcPr>
          <w:p>
            <w:pPr>
              <w:pStyle w:val="TableContents"/>
              <w:bidi w:val="0"/>
              <w:spacing w:before="0" w:after="283"/>
              <w:jc w:val="left"/>
              <w:rPr/>
            </w:pPr>
            <w:r>
              <w:rPr/>
              <w:t>Effective Date Deliverable</w:t>
            </w:r>
          </w:p>
        </w:tc>
      </w:tr>
      <w:tr>
        <w:trPr>
          <w:trHeight w:val="120" w:hRule="atLeast"/>
        </w:trPr>
        <w:tc>
          <w:tcPr>
            <w:tcW w:w="4939" w:type="dxa"/>
            <w:tcBorders/>
            <w:vAlign w:val="center"/>
          </w:tcPr>
          <w:p>
            <w:pPr>
              <w:pStyle w:val="TableContents"/>
              <w:bidi w:val="0"/>
              <w:spacing w:before="0" w:after="283"/>
              <w:jc w:val="left"/>
              <w:rPr>
                <w:sz w:val="4"/>
                <w:szCs w:val="4"/>
              </w:rPr>
            </w:pPr>
            <w:r>
              <w:rPr>
                <w:sz w:val="4"/>
                <w:szCs w:val="4"/>
              </w:rPr>
            </w:r>
          </w:p>
        </w:tc>
        <w:tc>
          <w:tcPr>
            <w:tcW w:w="1527" w:type="dxa"/>
            <w:gridSpan w:val="2"/>
            <w:tcBorders/>
            <w:vAlign w:val="center"/>
          </w:tcPr>
          <w:p>
            <w:pPr>
              <w:pStyle w:val="TableContents"/>
              <w:bidi w:val="0"/>
              <w:spacing w:before="0" w:after="283"/>
              <w:jc w:val="left"/>
              <w:rPr>
                <w:sz w:val="4"/>
                <w:szCs w:val="4"/>
              </w:rPr>
            </w:pPr>
            <w:r>
              <w:rPr>
                <w:sz w:val="4"/>
                <w:szCs w:val="4"/>
              </w:rPr>
            </w:r>
          </w:p>
        </w:tc>
        <w:tc>
          <w:tcPr>
            <w:tcW w:w="1758" w:type="dxa"/>
            <w:gridSpan w:val="2"/>
            <w:tcBorders/>
            <w:vAlign w:val="center"/>
          </w:tcPr>
          <w:p>
            <w:pPr>
              <w:pStyle w:val="TableContents"/>
              <w:bidi w:val="0"/>
              <w:spacing w:before="0" w:after="283"/>
              <w:jc w:val="left"/>
              <w:rPr>
                <w:sz w:val="4"/>
                <w:szCs w:val="4"/>
              </w:rPr>
            </w:pPr>
            <w:r>
              <w:rPr>
                <w:sz w:val="4"/>
                <w:szCs w:val="4"/>
              </w:rPr>
            </w:r>
          </w:p>
        </w:tc>
        <w:tc>
          <w:tcPr>
            <w:tcW w:w="1981" w:type="dxa"/>
            <w:gridSpan w:val="2"/>
            <w:tcBorders/>
            <w:vAlign w:val="center"/>
          </w:tcPr>
          <w:p>
            <w:pPr>
              <w:pStyle w:val="TableContents"/>
              <w:bidi w:val="0"/>
              <w:spacing w:before="0" w:after="283"/>
              <w:jc w:val="left"/>
              <w:rPr>
                <w:sz w:val="4"/>
                <w:szCs w:val="4"/>
              </w:rPr>
            </w:pPr>
            <w:r>
              <w:rPr>
                <w:sz w:val="4"/>
                <w:szCs w:val="4"/>
              </w:rPr>
            </w:r>
          </w:p>
        </w:tc>
      </w:tr>
      <w:tr>
        <w:trPr/>
        <w:tc>
          <w:tcPr>
            <w:tcW w:w="4939" w:type="dxa"/>
            <w:tcBorders/>
          </w:tcPr>
          <w:p>
            <w:pPr>
              <w:pStyle w:val="TableContents"/>
              <w:bidi w:val="0"/>
              <w:spacing w:before="0" w:after="0"/>
              <w:jc w:val="left"/>
              <w:rPr>
                <w:rFonts w:ascii="Times New Roman" w:hAnsi="Times New Roman"/>
                <w:sz w:val="20"/>
              </w:rPr>
            </w:pPr>
            <w:r>
              <w:rPr>
                <w:rFonts w:ascii="Times New Roman" w:hAnsi="Times New Roman"/>
                <w:sz w:val="20"/>
              </w:rPr>
              <w:t>28.  Pro Forma Monthly Information Package</w:t>
            </w:r>
          </w:p>
        </w:tc>
        <w:tc>
          <w:tcPr>
            <w:tcW w:w="124" w:type="dxa"/>
            <w:tcBorders/>
            <w:vAlign w:val="bottom"/>
          </w:tcPr>
          <w:p>
            <w:pPr>
              <w:pStyle w:val="TableContents"/>
              <w:bidi w:val="0"/>
              <w:spacing w:before="0" w:after="283"/>
              <w:jc w:val="left"/>
              <w:rPr/>
            </w:pPr>
            <w:r>
              <w:rPr/>
              <w:t>  </w:t>
            </w:r>
          </w:p>
        </w:tc>
        <w:tc>
          <w:tcPr>
            <w:tcW w:w="1403" w:type="dxa"/>
            <w:tcBorders/>
          </w:tcPr>
          <w:p>
            <w:pPr>
              <w:pStyle w:val="TableContents"/>
              <w:bidi w:val="0"/>
              <w:spacing w:before="0" w:after="283"/>
              <w:jc w:val="left"/>
              <w:rPr/>
            </w:pPr>
            <w:r>
              <w:rPr/>
              <w:t>PNC/Sabre Parties</w:t>
            </w:r>
          </w:p>
        </w:tc>
        <w:tc>
          <w:tcPr>
            <w:tcW w:w="124" w:type="dxa"/>
            <w:tcBorders/>
            <w:vAlign w:val="bottom"/>
          </w:tcPr>
          <w:p>
            <w:pPr>
              <w:pStyle w:val="TableContents"/>
              <w:bidi w:val="0"/>
              <w:spacing w:before="0" w:after="283"/>
              <w:jc w:val="left"/>
              <w:rPr/>
            </w:pPr>
            <w:r>
              <w:rPr/>
              <w:t>  </w:t>
            </w:r>
          </w:p>
        </w:tc>
        <w:tc>
          <w:tcPr>
            <w:tcW w:w="1634" w:type="dxa"/>
            <w:tcBorders/>
          </w:tcPr>
          <w:p>
            <w:pPr>
              <w:pStyle w:val="TableContents"/>
              <w:bidi w:val="0"/>
              <w:spacing w:before="0" w:after="283"/>
              <w:jc w:val="left"/>
              <w:rPr/>
            </w:pPr>
            <w:r>
              <w:rPr/>
              <w:t xml:space="preserve">☐ </w:t>
            </w:r>
            <w:r>
              <w:rPr/>
              <w:t>Servicers</w:t>
            </w:r>
          </w:p>
        </w:tc>
        <w:tc>
          <w:tcPr>
            <w:tcW w:w="124" w:type="dxa"/>
            <w:tcBorders/>
            <w:vAlign w:val="bottom"/>
          </w:tcPr>
          <w:p>
            <w:pPr>
              <w:pStyle w:val="TableContents"/>
              <w:bidi w:val="0"/>
              <w:spacing w:before="0" w:after="283"/>
              <w:jc w:val="left"/>
              <w:rPr/>
            </w:pPr>
            <w:r>
              <w:rPr/>
              <w:t>  </w:t>
            </w:r>
          </w:p>
        </w:tc>
        <w:tc>
          <w:tcPr>
            <w:tcW w:w="1857" w:type="dxa"/>
            <w:tcBorders/>
          </w:tcPr>
          <w:p>
            <w:pPr>
              <w:pStyle w:val="TableContents"/>
              <w:bidi w:val="0"/>
              <w:spacing w:before="0" w:after="283"/>
              <w:jc w:val="left"/>
              <w:rPr/>
            </w:pPr>
            <w:r>
              <w:rPr/>
              <w:t>Effective Date Deliverable</w:t>
            </w:r>
          </w:p>
        </w:tc>
      </w:tr>
      <w:tr>
        <w:trPr>
          <w:trHeight w:val="120" w:hRule="atLeast"/>
        </w:trPr>
        <w:tc>
          <w:tcPr>
            <w:tcW w:w="4939" w:type="dxa"/>
            <w:tcBorders/>
            <w:vAlign w:val="center"/>
          </w:tcPr>
          <w:p>
            <w:pPr>
              <w:pStyle w:val="TableContents"/>
              <w:bidi w:val="0"/>
              <w:spacing w:before="0" w:after="283"/>
              <w:jc w:val="left"/>
              <w:rPr>
                <w:sz w:val="4"/>
                <w:szCs w:val="4"/>
              </w:rPr>
            </w:pPr>
            <w:r>
              <w:rPr>
                <w:sz w:val="4"/>
                <w:szCs w:val="4"/>
              </w:rPr>
            </w:r>
          </w:p>
        </w:tc>
        <w:tc>
          <w:tcPr>
            <w:tcW w:w="1527" w:type="dxa"/>
            <w:gridSpan w:val="2"/>
            <w:tcBorders/>
            <w:vAlign w:val="center"/>
          </w:tcPr>
          <w:p>
            <w:pPr>
              <w:pStyle w:val="TableContents"/>
              <w:bidi w:val="0"/>
              <w:spacing w:before="0" w:after="283"/>
              <w:jc w:val="left"/>
              <w:rPr>
                <w:sz w:val="4"/>
                <w:szCs w:val="4"/>
              </w:rPr>
            </w:pPr>
            <w:r>
              <w:rPr>
                <w:sz w:val="4"/>
                <w:szCs w:val="4"/>
              </w:rPr>
            </w:r>
          </w:p>
        </w:tc>
        <w:tc>
          <w:tcPr>
            <w:tcW w:w="1758" w:type="dxa"/>
            <w:gridSpan w:val="2"/>
            <w:tcBorders/>
            <w:vAlign w:val="center"/>
          </w:tcPr>
          <w:p>
            <w:pPr>
              <w:pStyle w:val="TableContents"/>
              <w:bidi w:val="0"/>
              <w:spacing w:before="0" w:after="283"/>
              <w:jc w:val="left"/>
              <w:rPr>
                <w:sz w:val="4"/>
                <w:szCs w:val="4"/>
              </w:rPr>
            </w:pPr>
            <w:r>
              <w:rPr>
                <w:sz w:val="4"/>
                <w:szCs w:val="4"/>
              </w:rPr>
            </w:r>
          </w:p>
        </w:tc>
        <w:tc>
          <w:tcPr>
            <w:tcW w:w="1981" w:type="dxa"/>
            <w:gridSpan w:val="2"/>
            <w:tcBorders/>
            <w:vAlign w:val="center"/>
          </w:tcPr>
          <w:p>
            <w:pPr>
              <w:pStyle w:val="TableContents"/>
              <w:bidi w:val="0"/>
              <w:spacing w:before="0" w:after="283"/>
              <w:jc w:val="left"/>
              <w:rPr>
                <w:sz w:val="4"/>
                <w:szCs w:val="4"/>
              </w:rPr>
            </w:pPr>
            <w:r>
              <w:rPr>
                <w:sz w:val="4"/>
                <w:szCs w:val="4"/>
              </w:rPr>
            </w:r>
          </w:p>
        </w:tc>
      </w:tr>
      <w:tr>
        <w:trPr/>
        <w:tc>
          <w:tcPr>
            <w:tcW w:w="4939" w:type="dxa"/>
            <w:tcBorders/>
          </w:tcPr>
          <w:p>
            <w:pPr>
              <w:pStyle w:val="TableContents"/>
              <w:bidi w:val="0"/>
              <w:spacing w:before="0" w:after="0"/>
              <w:jc w:val="left"/>
              <w:rPr>
                <w:rFonts w:ascii="Times New Roman" w:hAnsi="Times New Roman"/>
                <w:sz w:val="20"/>
              </w:rPr>
            </w:pPr>
            <w:r>
              <w:rPr>
                <w:rFonts w:ascii="Times New Roman" w:hAnsi="Times New Roman"/>
                <w:sz w:val="20"/>
              </w:rPr>
              <w:t>29.  Exhibit E-1 Monthly Report</w:t>
            </w:r>
          </w:p>
        </w:tc>
        <w:tc>
          <w:tcPr>
            <w:tcW w:w="124" w:type="dxa"/>
            <w:tcBorders/>
            <w:vAlign w:val="bottom"/>
          </w:tcPr>
          <w:p>
            <w:pPr>
              <w:pStyle w:val="TableContents"/>
              <w:bidi w:val="0"/>
              <w:spacing w:before="0" w:after="283"/>
              <w:jc w:val="left"/>
              <w:rPr/>
            </w:pPr>
            <w:r>
              <w:rPr/>
              <w:t>  </w:t>
            </w:r>
          </w:p>
        </w:tc>
        <w:tc>
          <w:tcPr>
            <w:tcW w:w="1403" w:type="dxa"/>
            <w:tcBorders/>
          </w:tcPr>
          <w:p>
            <w:pPr>
              <w:pStyle w:val="TableContents"/>
              <w:bidi w:val="0"/>
              <w:spacing w:before="0" w:after="283"/>
              <w:jc w:val="left"/>
              <w:rPr/>
            </w:pPr>
            <w:r>
              <w:rPr/>
              <w:t>Sabre Counsel</w:t>
            </w:r>
          </w:p>
        </w:tc>
        <w:tc>
          <w:tcPr>
            <w:tcW w:w="124" w:type="dxa"/>
            <w:tcBorders/>
            <w:vAlign w:val="bottom"/>
          </w:tcPr>
          <w:p>
            <w:pPr>
              <w:pStyle w:val="TableContents"/>
              <w:bidi w:val="0"/>
              <w:spacing w:before="0" w:after="283"/>
              <w:jc w:val="left"/>
              <w:rPr/>
            </w:pPr>
            <w:r>
              <w:rPr/>
              <w:t>  </w:t>
            </w:r>
          </w:p>
        </w:tc>
        <w:tc>
          <w:tcPr>
            <w:tcW w:w="1634" w:type="dxa"/>
            <w:tcBorders/>
          </w:tcPr>
          <w:p>
            <w:pPr>
              <w:pStyle w:val="TableContents"/>
              <w:bidi w:val="0"/>
              <w:spacing w:before="0" w:after="283"/>
              <w:jc w:val="left"/>
              <w:rPr/>
            </w:pPr>
            <w:r>
              <w:rPr/>
              <w:t>N/A</w:t>
            </w:r>
          </w:p>
        </w:tc>
        <w:tc>
          <w:tcPr>
            <w:tcW w:w="124" w:type="dxa"/>
            <w:tcBorders/>
            <w:vAlign w:val="bottom"/>
          </w:tcPr>
          <w:p>
            <w:pPr>
              <w:pStyle w:val="TableContents"/>
              <w:bidi w:val="0"/>
              <w:spacing w:before="0" w:after="283"/>
              <w:jc w:val="left"/>
              <w:rPr/>
            </w:pPr>
            <w:r>
              <w:rPr/>
              <w:t>  </w:t>
            </w:r>
          </w:p>
        </w:tc>
        <w:tc>
          <w:tcPr>
            <w:tcW w:w="1857" w:type="dxa"/>
            <w:tcBorders/>
          </w:tcPr>
          <w:p>
            <w:pPr>
              <w:pStyle w:val="TableContents"/>
              <w:bidi w:val="0"/>
              <w:spacing w:before="0" w:after="283"/>
              <w:jc w:val="left"/>
              <w:rPr/>
            </w:pPr>
            <w:r>
              <w:rPr/>
              <w:t>Effective Date Deliverable</w:t>
            </w:r>
          </w:p>
        </w:tc>
      </w:tr>
      <w:tr>
        <w:trPr>
          <w:trHeight w:val="120" w:hRule="atLeast"/>
        </w:trPr>
        <w:tc>
          <w:tcPr>
            <w:tcW w:w="4939" w:type="dxa"/>
            <w:tcBorders/>
            <w:vAlign w:val="center"/>
          </w:tcPr>
          <w:p>
            <w:pPr>
              <w:pStyle w:val="TableContents"/>
              <w:bidi w:val="0"/>
              <w:spacing w:before="0" w:after="283"/>
              <w:jc w:val="left"/>
              <w:rPr>
                <w:sz w:val="4"/>
                <w:szCs w:val="4"/>
              </w:rPr>
            </w:pPr>
            <w:r>
              <w:rPr>
                <w:sz w:val="4"/>
                <w:szCs w:val="4"/>
              </w:rPr>
            </w:r>
          </w:p>
        </w:tc>
        <w:tc>
          <w:tcPr>
            <w:tcW w:w="1527" w:type="dxa"/>
            <w:gridSpan w:val="2"/>
            <w:tcBorders/>
            <w:vAlign w:val="center"/>
          </w:tcPr>
          <w:p>
            <w:pPr>
              <w:pStyle w:val="TableContents"/>
              <w:bidi w:val="0"/>
              <w:spacing w:before="0" w:after="283"/>
              <w:jc w:val="left"/>
              <w:rPr>
                <w:sz w:val="4"/>
                <w:szCs w:val="4"/>
              </w:rPr>
            </w:pPr>
            <w:r>
              <w:rPr>
                <w:sz w:val="4"/>
                <w:szCs w:val="4"/>
              </w:rPr>
            </w:r>
          </w:p>
        </w:tc>
        <w:tc>
          <w:tcPr>
            <w:tcW w:w="1758" w:type="dxa"/>
            <w:gridSpan w:val="2"/>
            <w:tcBorders/>
            <w:vAlign w:val="center"/>
          </w:tcPr>
          <w:p>
            <w:pPr>
              <w:pStyle w:val="TableContents"/>
              <w:bidi w:val="0"/>
              <w:spacing w:before="0" w:after="283"/>
              <w:jc w:val="left"/>
              <w:rPr>
                <w:sz w:val="4"/>
                <w:szCs w:val="4"/>
              </w:rPr>
            </w:pPr>
            <w:r>
              <w:rPr>
                <w:sz w:val="4"/>
                <w:szCs w:val="4"/>
              </w:rPr>
            </w:r>
          </w:p>
        </w:tc>
        <w:tc>
          <w:tcPr>
            <w:tcW w:w="1981" w:type="dxa"/>
            <w:gridSpan w:val="2"/>
            <w:tcBorders/>
            <w:vAlign w:val="center"/>
          </w:tcPr>
          <w:p>
            <w:pPr>
              <w:pStyle w:val="TableContents"/>
              <w:bidi w:val="0"/>
              <w:spacing w:before="0" w:after="283"/>
              <w:jc w:val="left"/>
              <w:rPr>
                <w:sz w:val="4"/>
                <w:szCs w:val="4"/>
              </w:rPr>
            </w:pPr>
            <w:r>
              <w:rPr>
                <w:sz w:val="4"/>
                <w:szCs w:val="4"/>
              </w:rPr>
            </w:r>
          </w:p>
        </w:tc>
      </w:tr>
      <w:tr>
        <w:trPr/>
        <w:tc>
          <w:tcPr>
            <w:tcW w:w="4939" w:type="dxa"/>
            <w:tcBorders/>
          </w:tcPr>
          <w:p>
            <w:pPr>
              <w:pStyle w:val="TableContents"/>
              <w:bidi w:val="0"/>
              <w:spacing w:before="0" w:after="0"/>
              <w:jc w:val="left"/>
              <w:rPr>
                <w:rFonts w:ascii="Times New Roman" w:hAnsi="Times New Roman"/>
                <w:sz w:val="20"/>
              </w:rPr>
            </w:pPr>
            <w:r>
              <w:rPr>
                <w:rFonts w:ascii="Times New Roman" w:hAnsi="Times New Roman"/>
                <w:sz w:val="20"/>
              </w:rPr>
              <w:t>30.  Exhibit I – Restricted Non-U.S. Law Receivables</w:t>
            </w:r>
          </w:p>
        </w:tc>
        <w:tc>
          <w:tcPr>
            <w:tcW w:w="124" w:type="dxa"/>
            <w:tcBorders/>
            <w:vAlign w:val="bottom"/>
          </w:tcPr>
          <w:p>
            <w:pPr>
              <w:pStyle w:val="TableContents"/>
              <w:bidi w:val="0"/>
              <w:spacing w:before="0" w:after="283"/>
              <w:jc w:val="left"/>
              <w:rPr/>
            </w:pPr>
            <w:r>
              <w:rPr/>
              <w:t>  </w:t>
            </w:r>
          </w:p>
        </w:tc>
        <w:tc>
          <w:tcPr>
            <w:tcW w:w="1403" w:type="dxa"/>
            <w:tcBorders/>
          </w:tcPr>
          <w:p>
            <w:pPr>
              <w:pStyle w:val="TableContents"/>
              <w:bidi w:val="0"/>
              <w:spacing w:before="0" w:after="283"/>
              <w:jc w:val="left"/>
              <w:rPr/>
            </w:pPr>
            <w:r>
              <w:rPr/>
              <w:t>Sabre Counsel</w:t>
            </w:r>
          </w:p>
        </w:tc>
        <w:tc>
          <w:tcPr>
            <w:tcW w:w="124" w:type="dxa"/>
            <w:tcBorders/>
            <w:vAlign w:val="bottom"/>
          </w:tcPr>
          <w:p>
            <w:pPr>
              <w:pStyle w:val="TableContents"/>
              <w:bidi w:val="0"/>
              <w:spacing w:before="0" w:after="283"/>
              <w:jc w:val="left"/>
              <w:rPr/>
            </w:pPr>
            <w:r>
              <w:rPr/>
              <w:t>  </w:t>
            </w:r>
          </w:p>
        </w:tc>
        <w:tc>
          <w:tcPr>
            <w:tcW w:w="1634" w:type="dxa"/>
            <w:tcBorders/>
          </w:tcPr>
          <w:p>
            <w:pPr>
              <w:pStyle w:val="TableContents"/>
              <w:bidi w:val="0"/>
              <w:spacing w:before="0" w:after="283"/>
              <w:jc w:val="left"/>
              <w:rPr/>
            </w:pPr>
            <w:r>
              <w:rPr/>
              <w:t>N/A</w:t>
            </w:r>
          </w:p>
        </w:tc>
        <w:tc>
          <w:tcPr>
            <w:tcW w:w="124" w:type="dxa"/>
            <w:tcBorders/>
            <w:vAlign w:val="bottom"/>
          </w:tcPr>
          <w:p>
            <w:pPr>
              <w:pStyle w:val="TableContents"/>
              <w:bidi w:val="0"/>
              <w:spacing w:before="0" w:after="283"/>
              <w:jc w:val="left"/>
              <w:rPr/>
            </w:pPr>
            <w:r>
              <w:rPr/>
              <w:t>  </w:t>
            </w:r>
          </w:p>
        </w:tc>
        <w:tc>
          <w:tcPr>
            <w:tcW w:w="1857" w:type="dxa"/>
            <w:tcBorders/>
          </w:tcPr>
          <w:p>
            <w:pPr>
              <w:pStyle w:val="TableContents"/>
              <w:bidi w:val="0"/>
              <w:spacing w:before="0" w:after="283"/>
              <w:jc w:val="left"/>
              <w:rPr/>
            </w:pPr>
            <w:r>
              <w:rPr/>
              <w:t>Effective Date Deliverable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232</Pages>
  <Words>99316</Words>
  <Characters>527618</Characters>
  <CharactersWithSpaces>627661</CharactersWithSpaces>
  <Paragraphs>3967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