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7667492.xml.htm"/>
      <w:bookmarkStart w:id="1" w:name="kswkform4_177766749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MANDEL GAIL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SABRE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3150 SABRE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SOUTHLAKE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76092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Sabre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SABR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04/29/2026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1055"/>
        <w:gridCol w:w="451"/>
        <w:gridCol w:w="667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04/29/2026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110,497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1.81</w:t>
            </w:r>
            <w:r>
              <w:rPr/>
              <w:t xml:space="preserve"> 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320,418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restricted stock unit award vests as to 100% of the shares of common stock subject to such award at the end of the one-year period following the grant date, subject to the reporting person's continued service on the board of directors of the Issuer through the vesting date. 100% of the shares received will be deferred pursuant to an election by the reporting person under the Sabre Corporation Non-Employee Director Compensation Deferral Plan.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Steve Milton, as attorney-in-fact for Gail Mandel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26087" TargetMode="External"/><Relationship Id="rId5" Type="http://schemas.openxmlformats.org/officeDocument/2006/relationships/hyperlink" Target="http://www.sec.gov/cgi-bin/browse-edgar?action=getcompany&amp;CIK=000159703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637</Words>
  <Characters>3437</Characters>
  <CharactersWithSpaces>4014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