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860425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5"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w:t>
      </w:r>
    </w:p>
    <w:p>
      <w:pPr>
        <w:spacing w:after="0" w:line="234"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8, 2020</w:t>
      </w:r>
    </w:p>
    <w:p>
      <w:pPr>
        <w:spacing w:after="0" w:line="22"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SABRE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 w:lineRule="exact"/>
        <w:rPr>
          <w:sz w:val="24"/>
          <w:szCs w:val="24"/>
          <w:color w:val="auto"/>
        </w:rPr>
      </w:pPr>
    </w:p>
    <w:tbl>
      <w:tblPr>
        <w:tblLayout w:type="fixed"/>
        <w:tblInd w:w="740" w:type="dxa"/>
        <w:tblCellMar>
          <w:top w:w="0" w:type="dxa"/>
          <w:left w:w="0" w:type="dxa"/>
          <w:bottom w:w="0" w:type="dxa"/>
          <w:right w:w="0" w:type="dxa"/>
        </w:tblCellMar>
      </w:tblPr>
      <w:tr>
        <w:trPr>
          <w:trHeight w:val="217"/>
        </w:trPr>
        <w:tc>
          <w:tcPr>
            <w:tcW w:w="3780" w:type="dxa"/>
            <w:vAlign w:val="bottom"/>
          </w:tcPr>
          <w:p>
            <w:pPr>
              <w:spacing w:after="0"/>
              <w:rPr>
                <w:sz w:val="18"/>
                <w:szCs w:val="18"/>
                <w:color w:val="auto"/>
              </w:rPr>
            </w:pPr>
          </w:p>
        </w:tc>
        <w:tc>
          <w:tcPr>
            <w:tcW w:w="3260" w:type="dxa"/>
            <w:vAlign w:val="bottom"/>
          </w:tcPr>
          <w:p>
            <w:pPr>
              <w:jc w:val="center"/>
              <w:ind w:right="917"/>
              <w:spacing w:after="0"/>
              <w:rPr>
                <w:sz w:val="20"/>
                <w:szCs w:val="20"/>
                <w:color w:val="auto"/>
              </w:rPr>
            </w:pPr>
            <w:r>
              <w:rPr>
                <w:rFonts w:ascii="Arial" w:cs="Arial" w:eastAsia="Arial" w:hAnsi="Arial"/>
                <w:sz w:val="18"/>
                <w:szCs w:val="18"/>
                <w:color w:val="auto"/>
                <w:w w:val="99"/>
              </w:rPr>
              <w:t>_____________________</w:t>
            </w:r>
          </w:p>
        </w:tc>
        <w:tc>
          <w:tcPr>
            <w:tcW w:w="2300" w:type="dxa"/>
            <w:vAlign w:val="bottom"/>
          </w:tcPr>
          <w:p>
            <w:pPr>
              <w:spacing w:after="0"/>
              <w:rPr>
                <w:sz w:val="18"/>
                <w:szCs w:val="18"/>
                <w:color w:val="auto"/>
              </w:rPr>
            </w:pPr>
          </w:p>
        </w:tc>
      </w:tr>
      <w:tr>
        <w:trPr>
          <w:trHeight w:val="432"/>
        </w:trPr>
        <w:tc>
          <w:tcPr>
            <w:tcW w:w="3780" w:type="dxa"/>
            <w:vAlign w:val="bottom"/>
          </w:tcPr>
          <w:p>
            <w:pPr>
              <w:jc w:val="center"/>
              <w:ind w:right="1659"/>
              <w:spacing w:after="0"/>
              <w:rPr>
                <w:sz w:val="20"/>
                <w:szCs w:val="20"/>
                <w:color w:val="auto"/>
              </w:rPr>
            </w:pPr>
            <w:r>
              <w:rPr>
                <w:rFonts w:ascii="Arial" w:cs="Arial" w:eastAsia="Arial" w:hAnsi="Arial"/>
                <w:sz w:val="18"/>
                <w:szCs w:val="18"/>
                <w:b w:val="1"/>
                <w:bCs w:val="1"/>
                <w:color w:val="auto"/>
              </w:rPr>
              <w:t>Delaware</w:t>
            </w:r>
          </w:p>
        </w:tc>
        <w:tc>
          <w:tcPr>
            <w:tcW w:w="3260" w:type="dxa"/>
            <w:vAlign w:val="bottom"/>
          </w:tcPr>
          <w:p>
            <w:pPr>
              <w:jc w:val="center"/>
              <w:ind w:right="957"/>
              <w:spacing w:after="0"/>
              <w:rPr>
                <w:sz w:val="20"/>
                <w:szCs w:val="20"/>
                <w:color w:val="auto"/>
              </w:rPr>
            </w:pPr>
            <w:r>
              <w:rPr>
                <w:rFonts w:ascii="Arial" w:cs="Arial" w:eastAsia="Arial" w:hAnsi="Arial"/>
                <w:sz w:val="18"/>
                <w:szCs w:val="18"/>
                <w:b w:val="1"/>
                <w:bCs w:val="1"/>
                <w:color w:val="auto"/>
                <w:w w:val="99"/>
              </w:rPr>
              <w:t>001-36422</w:t>
            </w:r>
          </w:p>
        </w:tc>
        <w:tc>
          <w:tcPr>
            <w:tcW w:w="2300" w:type="dxa"/>
            <w:vAlign w:val="bottom"/>
          </w:tcPr>
          <w:p>
            <w:pPr>
              <w:jc w:val="center"/>
              <w:ind w:left="1021"/>
              <w:spacing w:after="0"/>
              <w:rPr>
                <w:sz w:val="20"/>
                <w:szCs w:val="20"/>
                <w:color w:val="auto"/>
              </w:rPr>
            </w:pPr>
            <w:r>
              <w:rPr>
                <w:rFonts w:ascii="Arial" w:cs="Arial" w:eastAsia="Arial" w:hAnsi="Arial"/>
                <w:sz w:val="18"/>
                <w:szCs w:val="18"/>
                <w:b w:val="1"/>
                <w:bCs w:val="1"/>
                <w:color w:val="auto"/>
                <w:w w:val="99"/>
              </w:rPr>
              <w:t>20-8647322</w:t>
            </w:r>
          </w:p>
        </w:tc>
      </w:tr>
      <w:tr>
        <w:trPr>
          <w:trHeight w:val="189"/>
        </w:trPr>
        <w:tc>
          <w:tcPr>
            <w:tcW w:w="3780" w:type="dxa"/>
            <w:vAlign w:val="bottom"/>
          </w:tcPr>
          <w:p>
            <w:pPr>
              <w:jc w:val="center"/>
              <w:ind w:right="163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right="957"/>
              <w:spacing w:after="0"/>
              <w:rPr>
                <w:sz w:val="20"/>
                <w:szCs w:val="20"/>
                <w:color w:val="auto"/>
              </w:rPr>
            </w:pPr>
            <w:r>
              <w:rPr>
                <w:rFonts w:ascii="Arial" w:cs="Arial" w:eastAsia="Arial" w:hAnsi="Arial"/>
                <w:sz w:val="14"/>
                <w:szCs w:val="14"/>
                <w:b w:val="1"/>
                <w:bCs w:val="1"/>
                <w:color w:val="auto"/>
              </w:rPr>
              <w:t>(Commission</w:t>
            </w:r>
          </w:p>
        </w:tc>
        <w:tc>
          <w:tcPr>
            <w:tcW w:w="2300" w:type="dxa"/>
            <w:vAlign w:val="bottom"/>
          </w:tcPr>
          <w:p>
            <w:pPr>
              <w:jc w:val="center"/>
              <w:ind w:left="100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780" w:type="dxa"/>
            <w:vAlign w:val="bottom"/>
          </w:tcPr>
          <w:p>
            <w:pPr>
              <w:jc w:val="center"/>
              <w:ind w:right="165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right="937"/>
              <w:spacing w:after="0"/>
              <w:rPr>
                <w:sz w:val="20"/>
                <w:szCs w:val="20"/>
                <w:color w:val="auto"/>
              </w:rPr>
            </w:pPr>
            <w:r>
              <w:rPr>
                <w:rFonts w:ascii="Arial" w:cs="Arial" w:eastAsia="Arial" w:hAnsi="Arial"/>
                <w:sz w:val="14"/>
                <w:szCs w:val="14"/>
                <w:b w:val="1"/>
                <w:bCs w:val="1"/>
                <w:color w:val="auto"/>
              </w:rPr>
              <w:t>File Number)</w:t>
            </w:r>
          </w:p>
        </w:tc>
        <w:tc>
          <w:tcPr>
            <w:tcW w:w="2300" w:type="dxa"/>
            <w:vAlign w:val="bottom"/>
          </w:tcPr>
          <w:p>
            <w:pPr>
              <w:jc w:val="center"/>
              <w:ind w:left="1021"/>
              <w:spacing w:after="0"/>
              <w:rPr>
                <w:sz w:val="20"/>
                <w:szCs w:val="20"/>
                <w:color w:val="auto"/>
              </w:rPr>
            </w:pPr>
            <w:r>
              <w:rPr>
                <w:rFonts w:ascii="Arial" w:cs="Arial" w:eastAsia="Arial" w:hAnsi="Arial"/>
                <w:sz w:val="14"/>
                <w:szCs w:val="14"/>
                <w:b w:val="1"/>
                <w:bCs w:val="1"/>
                <w:color w:val="auto"/>
              </w:rPr>
              <w:t>Identification No.)</w:t>
            </w:r>
          </w:p>
        </w:tc>
      </w:tr>
      <w:tr>
        <w:trPr>
          <w:trHeight w:val="849"/>
        </w:trPr>
        <w:tc>
          <w:tcPr>
            <w:tcW w:w="3780" w:type="dxa"/>
            <w:vAlign w:val="bottom"/>
          </w:tcPr>
          <w:p>
            <w:pPr>
              <w:jc w:val="center"/>
              <w:ind w:left="2079"/>
              <w:spacing w:after="0"/>
              <w:rPr>
                <w:sz w:val="20"/>
                <w:szCs w:val="20"/>
                <w:color w:val="auto"/>
              </w:rPr>
            </w:pPr>
            <w:r>
              <w:rPr>
                <w:rFonts w:ascii="Arial" w:cs="Arial" w:eastAsia="Arial" w:hAnsi="Arial"/>
                <w:sz w:val="18"/>
                <w:szCs w:val="18"/>
                <w:b w:val="1"/>
                <w:bCs w:val="1"/>
                <w:color w:val="auto"/>
              </w:rPr>
              <w:t>3150 Sabre Drive</w:t>
            </w:r>
          </w:p>
        </w:tc>
        <w:tc>
          <w:tcPr>
            <w:tcW w:w="32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57"/>
        </w:trPr>
        <w:tc>
          <w:tcPr>
            <w:tcW w:w="3780" w:type="dxa"/>
            <w:vAlign w:val="bottom"/>
          </w:tcPr>
          <w:p>
            <w:pPr>
              <w:ind w:left="2040"/>
              <w:spacing w:after="0"/>
              <w:rPr>
                <w:sz w:val="20"/>
                <w:szCs w:val="20"/>
                <w:color w:val="auto"/>
              </w:rPr>
            </w:pPr>
            <w:r>
              <w:rPr>
                <w:rFonts w:ascii="Arial" w:cs="Arial" w:eastAsia="Arial" w:hAnsi="Arial"/>
                <w:sz w:val="18"/>
                <w:szCs w:val="18"/>
                <w:b w:val="1"/>
                <w:bCs w:val="1"/>
                <w:color w:val="auto"/>
              </w:rPr>
              <w:t>Southlake, TX</w:t>
            </w:r>
          </w:p>
        </w:tc>
        <w:tc>
          <w:tcPr>
            <w:tcW w:w="3260" w:type="dxa"/>
            <w:vAlign w:val="bottom"/>
          </w:tcPr>
          <w:p>
            <w:pPr>
              <w:spacing w:after="0"/>
              <w:rPr>
                <w:sz w:val="22"/>
                <w:szCs w:val="22"/>
                <w:color w:val="auto"/>
              </w:rPr>
            </w:pPr>
          </w:p>
        </w:tc>
        <w:tc>
          <w:tcPr>
            <w:tcW w:w="2300" w:type="dxa"/>
            <w:vAlign w:val="bottom"/>
          </w:tcPr>
          <w:p>
            <w:pPr>
              <w:jc w:val="right"/>
              <w:ind w:right="341"/>
              <w:spacing w:after="0"/>
              <w:rPr>
                <w:sz w:val="20"/>
                <w:szCs w:val="20"/>
                <w:color w:val="auto"/>
              </w:rPr>
            </w:pPr>
            <w:r>
              <w:rPr>
                <w:rFonts w:ascii="Arial" w:cs="Arial" w:eastAsia="Arial" w:hAnsi="Arial"/>
                <w:sz w:val="18"/>
                <w:szCs w:val="18"/>
                <w:b w:val="1"/>
                <w:bCs w:val="1"/>
                <w:color w:val="auto"/>
              </w:rPr>
              <w:t>76092</w:t>
            </w:r>
          </w:p>
        </w:tc>
      </w:tr>
      <w:tr>
        <w:trPr>
          <w:trHeight w:val="217"/>
        </w:trPr>
        <w:tc>
          <w:tcPr>
            <w:tcW w:w="7040" w:type="dxa"/>
            <w:vAlign w:val="bottom"/>
            <w:gridSpan w:val="2"/>
          </w:tcPr>
          <w:p>
            <w:pPr>
              <w:jc w:val="center"/>
              <w:ind w:right="997"/>
              <w:spacing w:after="0"/>
              <w:rPr>
                <w:sz w:val="20"/>
                <w:szCs w:val="20"/>
                <w:color w:val="auto"/>
              </w:rPr>
            </w:pPr>
            <w:r>
              <w:rPr>
                <w:rFonts w:ascii="Arial" w:cs="Arial" w:eastAsia="Arial" w:hAnsi="Arial"/>
                <w:sz w:val="14"/>
                <w:szCs w:val="14"/>
                <w:b w:val="1"/>
                <w:bCs w:val="1"/>
                <w:color w:val="auto"/>
              </w:rPr>
              <w:t>(Address of principal executive offices)</w:t>
            </w:r>
          </w:p>
        </w:tc>
        <w:tc>
          <w:tcPr>
            <w:tcW w:w="2300" w:type="dxa"/>
            <w:vAlign w:val="bottom"/>
          </w:tcPr>
          <w:p>
            <w:pPr>
              <w:jc w:val="center"/>
              <w:ind w:left="901"/>
              <w:spacing w:after="0"/>
              <w:rPr>
                <w:sz w:val="20"/>
                <w:szCs w:val="20"/>
                <w:color w:val="auto"/>
              </w:rPr>
            </w:pPr>
            <w:r>
              <w:rPr>
                <w:rFonts w:ascii="Arial" w:cs="Arial" w:eastAsia="Arial" w:hAnsi="Arial"/>
                <w:sz w:val="14"/>
                <w:szCs w:val="14"/>
                <w:b w:val="1"/>
                <w:bCs w:val="1"/>
                <w:color w:val="auto"/>
              </w:rPr>
              <w:t>(Zip Code)</w:t>
            </w:r>
          </w:p>
        </w:tc>
      </w:tr>
      <w:tr>
        <w:trPr>
          <w:trHeight w:val="444"/>
        </w:trPr>
        <w:tc>
          <w:tcPr>
            <w:tcW w:w="3780" w:type="dxa"/>
            <w:vAlign w:val="bottom"/>
          </w:tcPr>
          <w:p>
            <w:pPr>
              <w:spacing w:after="0"/>
              <w:rPr>
                <w:sz w:val="24"/>
                <w:szCs w:val="24"/>
                <w:color w:val="auto"/>
              </w:rPr>
            </w:pPr>
          </w:p>
        </w:tc>
        <w:tc>
          <w:tcPr>
            <w:tcW w:w="3260" w:type="dxa"/>
            <w:vAlign w:val="bottom"/>
          </w:tcPr>
          <w:p>
            <w:pPr>
              <w:jc w:val="center"/>
              <w:ind w:right="977"/>
              <w:spacing w:after="0"/>
              <w:rPr>
                <w:sz w:val="20"/>
                <w:szCs w:val="20"/>
                <w:color w:val="auto"/>
              </w:rPr>
            </w:pPr>
            <w:r>
              <w:rPr>
                <w:rFonts w:ascii="Arial" w:cs="Arial" w:eastAsia="Arial" w:hAnsi="Arial"/>
                <w:sz w:val="18"/>
                <w:szCs w:val="18"/>
                <w:b w:val="1"/>
                <w:bCs w:val="1"/>
                <w:color w:val="auto"/>
              </w:rPr>
              <w:t>(682) 605-1000</w:t>
            </w:r>
          </w:p>
        </w:tc>
        <w:tc>
          <w:tcPr>
            <w:tcW w:w="23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ind w:left="4620"/>
        <w:spacing w:after="0"/>
        <w:rPr>
          <w:sz w:val="20"/>
          <w:szCs w:val="20"/>
          <w:color w:val="auto"/>
        </w:rPr>
      </w:pPr>
      <w:r>
        <w:rPr>
          <w:rFonts w:ascii="Arial" w:cs="Arial" w:eastAsia="Arial" w:hAnsi="Arial"/>
          <w:sz w:val="18"/>
          <w:szCs w:val="18"/>
          <w:color w:val="auto"/>
        </w:rPr>
        <w:t>____________________</w:t>
      </w:r>
    </w:p>
    <w:p>
      <w:pPr>
        <w:spacing w:after="0" w:line="252" w:lineRule="exact"/>
        <w:rPr>
          <w:sz w:val="24"/>
          <w:szCs w:val="24"/>
          <w:color w:val="auto"/>
        </w:rPr>
      </w:pPr>
    </w:p>
    <w:p>
      <w:pPr>
        <w:ind w:right="14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4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4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4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96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9"/>
              </w:rPr>
              <w:t>Title of each class</w:t>
            </w:r>
          </w:p>
        </w:tc>
        <w:tc>
          <w:tcPr>
            <w:tcW w:w="3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Trading Symbol</w:t>
            </w:r>
          </w:p>
        </w:tc>
        <w:tc>
          <w:tcPr>
            <w:tcW w:w="4220" w:type="dxa"/>
            <w:vAlign w:val="bottom"/>
          </w:tcPr>
          <w:p>
            <w:pPr>
              <w:jc w:val="center"/>
              <w:ind w:left="250"/>
              <w:spacing w:after="0"/>
              <w:rPr>
                <w:sz w:val="20"/>
                <w:szCs w:val="20"/>
                <w:color w:val="auto"/>
              </w:rPr>
            </w:pPr>
            <w:r>
              <w:rPr>
                <w:rFonts w:ascii="Arial" w:cs="Arial" w:eastAsia="Arial" w:hAnsi="Arial"/>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31"/>
        </w:trPr>
        <w:tc>
          <w:tcPr>
            <w:tcW w:w="3960" w:type="dxa"/>
            <w:vAlign w:val="bottom"/>
            <w:vMerge w:val="continue"/>
          </w:tcPr>
          <w:p>
            <w:pPr>
              <w:spacing w:after="0"/>
              <w:rPr>
                <w:sz w:val="11"/>
                <w:szCs w:val="11"/>
                <w:color w:val="auto"/>
              </w:rPr>
            </w:pPr>
          </w:p>
        </w:tc>
        <w:tc>
          <w:tcPr>
            <w:tcW w:w="3060" w:type="dxa"/>
            <w:vAlign w:val="bottom"/>
            <w:vMerge w:val="continue"/>
          </w:tcPr>
          <w:p>
            <w:pPr>
              <w:spacing w:after="0"/>
              <w:rPr>
                <w:sz w:val="11"/>
                <w:szCs w:val="11"/>
                <w:color w:val="auto"/>
              </w:rPr>
            </w:pPr>
          </w:p>
        </w:tc>
        <w:tc>
          <w:tcPr>
            <w:tcW w:w="4220" w:type="dxa"/>
            <w:vAlign w:val="bottom"/>
            <w:vMerge w:val="restart"/>
          </w:tcPr>
          <w:p>
            <w:pPr>
              <w:jc w:val="center"/>
              <w:ind w:left="270"/>
              <w:spacing w:after="0"/>
              <w:rPr>
                <w:sz w:val="20"/>
                <w:szCs w:val="20"/>
                <w:color w:val="auto"/>
              </w:rPr>
            </w:pPr>
            <w:r>
              <w:rPr>
                <w:rFonts w:ascii="Arial" w:cs="Arial" w:eastAsia="Arial" w:hAnsi="Arial"/>
                <w:sz w:val="18"/>
                <w:szCs w:val="18"/>
                <w:b w:val="1"/>
                <w:bCs w:val="1"/>
                <w:color w:val="auto"/>
                <w:w w:val="98"/>
              </w:rPr>
              <w:t>registered</w:t>
            </w:r>
          </w:p>
        </w:tc>
        <w:tc>
          <w:tcPr>
            <w:tcW w:w="0" w:type="dxa"/>
            <w:vAlign w:val="bottom"/>
          </w:tcPr>
          <w:p>
            <w:pPr>
              <w:spacing w:after="0"/>
              <w:rPr>
                <w:sz w:val="1"/>
                <w:szCs w:val="1"/>
                <w:color w:val="auto"/>
              </w:rPr>
            </w:pPr>
          </w:p>
        </w:tc>
      </w:tr>
      <w:tr>
        <w:trPr>
          <w:trHeight w:val="108"/>
        </w:trPr>
        <w:tc>
          <w:tcPr>
            <w:tcW w:w="39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4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396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Common Stock, $.01 par value</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7"/>
              </w:rPr>
              <w:t>SABR</w:t>
            </w:r>
          </w:p>
        </w:tc>
        <w:tc>
          <w:tcPr>
            <w:tcW w:w="4220" w:type="dxa"/>
            <w:vAlign w:val="bottom"/>
          </w:tcPr>
          <w:p>
            <w:pPr>
              <w:jc w:val="center"/>
              <w:ind w:left="250"/>
              <w:spacing w:after="0"/>
              <w:rPr>
                <w:sz w:val="20"/>
                <w:szCs w:val="20"/>
                <w:color w:val="auto"/>
              </w:rPr>
            </w:pPr>
            <w:r>
              <w:rPr>
                <w:rFonts w:ascii="Arial" w:cs="Arial" w:eastAsia="Arial" w:hAnsi="Arial"/>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1006"/>
        </w:trPr>
        <w:tc>
          <w:tcPr>
            <w:tcW w:w="39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520" w:type="dxa"/>
            <w:vAlign w:val="bottom"/>
          </w:tcPr>
          <w:p>
            <w:pPr>
              <w:ind w:left="7120"/>
              <w:spacing w:after="0"/>
              <w:rPr>
                <w:sz w:val="20"/>
                <w:szCs w:val="20"/>
                <w:color w:val="auto"/>
              </w:rPr>
            </w:pPr>
            <w:r>
              <w:rPr>
                <w:rFonts w:ascii="Arial" w:cs="Arial" w:eastAsia="Arial" w:hAnsi="Arial"/>
                <w:sz w:val="17"/>
                <w:szCs w:val="17"/>
                <w:color w:val="auto"/>
              </w:rPr>
              <w:t>Emerging growth company</w:t>
            </w:r>
          </w:p>
        </w:tc>
        <w:tc>
          <w:tcPr>
            <w:tcW w:w="1720" w:type="dxa"/>
            <w:vAlign w:val="bottom"/>
            <w:vMerge w:val="restart"/>
          </w:tcPr>
          <w:p>
            <w:pPr>
              <w:ind w:left="3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27"/>
        </w:trPr>
        <w:tc>
          <w:tcPr>
            <w:tcW w:w="952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520" w:type="dxa"/>
            <w:vAlign w:val="bottom"/>
          </w:tcPr>
          <w:p>
            <w:pPr>
              <w:ind w:left="20"/>
              <w:spacing w:after="0" w:line="189" w:lineRule="exact"/>
              <w:rPr>
                <w:sz w:val="20"/>
                <w:szCs w:val="20"/>
                <w:color w:val="auto"/>
              </w:rPr>
            </w:pPr>
            <w:r>
              <w:rPr>
                <w:rFonts w:ascii="Arial" w:cs="Arial" w:eastAsia="Arial" w:hAnsi="Arial"/>
                <w:sz w:val="17"/>
                <w:szCs w:val="17"/>
                <w:color w:val="auto"/>
              </w:rPr>
              <w:t>If emerging growth company, indicate by check mark if the registrant has elected not to use the extended transition</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520" w:type="dxa"/>
            <w:vAlign w:val="bottom"/>
          </w:tcPr>
          <w:p>
            <w:pPr>
              <w:ind w:left="20"/>
              <w:spacing w:after="0" w:line="189" w:lineRule="exact"/>
              <w:rPr>
                <w:sz w:val="20"/>
                <w:szCs w:val="20"/>
                <w:color w:val="auto"/>
              </w:rPr>
            </w:pPr>
            <w:r>
              <w:rPr>
                <w:rFonts w:ascii="Arial" w:cs="Arial" w:eastAsia="Arial" w:hAnsi="Arial"/>
                <w:sz w:val="17"/>
                <w:szCs w:val="17"/>
                <w:color w:val="auto"/>
              </w:rPr>
              <w:t>period for complying with any new or revised financial accounting standards provided pursuant to Section 13(a) of the</w:t>
            </w:r>
          </w:p>
        </w:tc>
        <w:tc>
          <w:tcPr>
            <w:tcW w:w="1720" w:type="dxa"/>
            <w:vAlign w:val="bottom"/>
            <w:vMerge w:val="restart"/>
          </w:tcPr>
          <w:p>
            <w:pPr>
              <w:ind w:left="3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43"/>
        </w:trPr>
        <w:tc>
          <w:tcPr>
            <w:tcW w:w="9520" w:type="dxa"/>
            <w:vAlign w:val="bottom"/>
          </w:tcPr>
          <w:p>
            <w:pPr>
              <w:ind w:left="20"/>
              <w:spacing w:after="0"/>
              <w:rPr>
                <w:sz w:val="20"/>
                <w:szCs w:val="20"/>
                <w:color w:val="auto"/>
              </w:rPr>
            </w:pPr>
            <w:r>
              <w:rPr>
                <w:rFonts w:ascii="Arial" w:cs="Arial" w:eastAsia="Arial" w:hAnsi="Arial"/>
                <w:sz w:val="17"/>
                <w:szCs w:val="17"/>
                <w:color w:val="auto"/>
              </w:rPr>
              <w:t>Exchange Act.</w:t>
            </w: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79"/>
        </w:trPr>
        <w:tc>
          <w:tcPr>
            <w:tcW w:w="95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 w:name="page3"/>
    <w:bookmarkEnd w:id="2"/>
    <w:p>
      <w:pPr>
        <w:ind w:left="20"/>
        <w:spacing w:after="0"/>
        <w:tabs>
          <w:tab w:leader="none" w:pos="1200" w:val="left"/>
        </w:tabs>
        <w:rPr>
          <w:sz w:val="20"/>
          <w:szCs w:val="20"/>
          <w:color w:val="auto"/>
        </w:rPr>
      </w:pPr>
      <w:r>
        <w:rPr>
          <w:rFonts w:ascii="Arial" w:cs="Arial" w:eastAsia="Arial" w:hAnsi="Arial"/>
          <w:sz w:val="16"/>
          <w:szCs w:val="16"/>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60" w:lineRule="exact"/>
        <w:rPr>
          <w:sz w:val="20"/>
          <w:szCs w:val="20"/>
          <w:color w:val="auto"/>
        </w:rPr>
      </w:pPr>
    </w:p>
    <w:p>
      <w:pPr>
        <w:ind w:right="360" w:firstLine="486"/>
        <w:spacing w:after="0" w:line="260" w:lineRule="auto"/>
        <w:rPr>
          <w:sz w:val="20"/>
          <w:szCs w:val="20"/>
          <w:color w:val="auto"/>
        </w:rPr>
      </w:pPr>
      <w:r>
        <w:rPr>
          <w:rFonts w:ascii="Arial" w:cs="Arial" w:eastAsia="Arial" w:hAnsi="Arial"/>
          <w:sz w:val="16"/>
          <w:szCs w:val="16"/>
          <w:color w:val="auto"/>
        </w:rPr>
        <w:t>On May 8, 2020, Sabre Corporation (“Sabre”) issued a press release and will hold a conference call regarding its financial results for the quarter ended March 31, 2020. A copy of the press release is attached as Exhibit 99.1.</w:t>
      </w:r>
    </w:p>
    <w:p>
      <w:pPr>
        <w:spacing w:after="0" w:line="195" w:lineRule="exact"/>
        <w:rPr>
          <w:sz w:val="20"/>
          <w:szCs w:val="20"/>
          <w:color w:val="auto"/>
        </w:rPr>
      </w:pPr>
    </w:p>
    <w:p>
      <w:pPr>
        <w:ind w:firstLine="486"/>
        <w:spacing w:after="0" w:line="253" w:lineRule="auto"/>
        <w:rPr>
          <w:sz w:val="20"/>
          <w:szCs w:val="20"/>
          <w:color w:val="auto"/>
        </w:rPr>
      </w:pPr>
      <w:r>
        <w:rPr>
          <w:rFonts w:ascii="Arial" w:cs="Arial" w:eastAsia="Arial" w:hAnsi="Arial"/>
          <w:sz w:val="16"/>
          <w:szCs w:val="16"/>
          <w:color w:val="auto"/>
        </w:rPr>
        <w:t>The information in this Item 2.02 of Form 8-K and the attached exhibit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p>
      <w:pPr>
        <w:spacing w:after="0" w:line="201" w:lineRule="exact"/>
        <w:rPr>
          <w:sz w:val="20"/>
          <w:szCs w:val="20"/>
          <w:color w:val="auto"/>
        </w:rPr>
      </w:pPr>
    </w:p>
    <w:p>
      <w:pPr>
        <w:ind w:right="640" w:firstLine="486"/>
        <w:spacing w:after="0" w:line="260" w:lineRule="auto"/>
        <w:rPr>
          <w:sz w:val="20"/>
          <w:szCs w:val="20"/>
          <w:color w:val="auto"/>
        </w:rPr>
      </w:pPr>
      <w:r>
        <w:rPr>
          <w:rFonts w:ascii="Arial" w:cs="Arial" w:eastAsia="Arial" w:hAnsi="Arial"/>
          <w:sz w:val="16"/>
          <w:szCs w:val="16"/>
          <w:color w:val="auto"/>
        </w:rPr>
        <w:t>Sabre makes reference to non-GAAP financial measures in the press release. A reconciliation of these non-GAAP financial measures to the comparable GAAP financial measures is contained in the attached press release.</w:t>
      </w:r>
    </w:p>
    <w:p>
      <w:pPr>
        <w:spacing w:after="0" w:line="378"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44"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46" w:lineRule="exact"/>
        <w:rPr>
          <w:sz w:val="20"/>
          <w:szCs w:val="20"/>
          <w:color w:val="auto"/>
        </w:rPr>
      </w:pPr>
    </w:p>
    <w:p>
      <w:pPr>
        <w:ind w:left="80"/>
        <w:spacing w:after="0"/>
        <w:tabs>
          <w:tab w:leader="none" w:pos="1180" w:val="left"/>
        </w:tabs>
        <w:rPr>
          <w:rFonts w:ascii="Arial" w:cs="Arial" w:eastAsia="Arial" w:hAnsi="Arial"/>
          <w:sz w:val="16"/>
          <w:szCs w:val="16"/>
          <w:u w:val="single" w:color="auto"/>
          <w:color w:val="0000FF"/>
        </w:rPr>
      </w:pPr>
      <w:r>
        <w:rPr>
          <w:rFonts w:ascii="Arial" w:cs="Arial" w:eastAsia="Arial" w:hAnsi="Arial"/>
          <w:sz w:val="16"/>
          <w:szCs w:val="16"/>
          <w:color w:val="auto"/>
        </w:rPr>
        <w:t>99.1</w:t>
      </w:r>
      <w:r>
        <w:rPr>
          <w:sz w:val="20"/>
          <w:szCs w:val="20"/>
          <w:color w:val="auto"/>
        </w:rPr>
        <w:tab/>
      </w:r>
      <w:hyperlink w:anchor="page4">
        <w:r>
          <w:rPr>
            <w:rFonts w:ascii="Arial" w:cs="Arial" w:eastAsia="Arial" w:hAnsi="Arial"/>
            <w:sz w:val="16"/>
            <w:szCs w:val="16"/>
            <w:u w:val="single" w:color="auto"/>
            <w:color w:val="0000FF"/>
          </w:rPr>
          <w:t>Press Release dated May 8, 2020</w:t>
        </w:r>
        <w:r>
          <w:rPr>
            <w:rFonts w:ascii="Arial" w:cs="Arial" w:eastAsia="Arial" w:hAnsi="Arial"/>
            <w:sz w:val="16"/>
            <w:szCs w:val="16"/>
            <w:color w:val="0000FF"/>
          </w:rPr>
          <w:t>.</w:t>
        </w:r>
      </w:hyperlink>
    </w:p>
    <w:p>
      <w:pPr>
        <w:spacing w:after="0" w:line="73" w:lineRule="exact"/>
        <w:rPr>
          <w:sz w:val="20"/>
          <w:szCs w:val="20"/>
          <w:color w:val="auto"/>
        </w:rPr>
      </w:pPr>
    </w:p>
    <w:p>
      <w:pPr>
        <w:ind w:left="1240" w:hanging="1214"/>
        <w:spacing w:after="0"/>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Cover Page Interactive Data File - formatted as Inline XBRL.</w:t>
      </w:r>
    </w:p>
    <w:p>
      <w:pPr>
        <w:spacing w:after="0" w:line="101" w:lineRule="exact"/>
        <w:rPr>
          <w:rFonts w:ascii="Arial" w:cs="Arial" w:eastAsia="Arial" w:hAnsi="Arial"/>
          <w:sz w:val="16"/>
          <w:szCs w:val="16"/>
          <w:color w:val="auto"/>
        </w:rPr>
      </w:pPr>
    </w:p>
    <w:p>
      <w:pPr>
        <w:ind w:left="5040"/>
        <w:spacing w:after="0"/>
        <w:rPr>
          <w:rFonts w:ascii="Arial" w:cs="Arial" w:eastAsia="Arial" w:hAnsi="Arial"/>
          <w:sz w:val="16"/>
          <w:szCs w:val="16"/>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320" w:firstLine="48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080" w:type="dxa"/>
            <w:vAlign w:val="bottom"/>
            <w:gridSpan w:val="2"/>
          </w:tcPr>
          <w:p>
            <w:pPr>
              <w:ind w:left="2340"/>
              <w:spacing w:after="0"/>
              <w:rPr>
                <w:sz w:val="20"/>
                <w:szCs w:val="20"/>
                <w:color w:val="auto"/>
              </w:rPr>
            </w:pPr>
            <w:r>
              <w:rPr>
                <w:rFonts w:ascii="Arial" w:cs="Arial" w:eastAsia="Arial" w:hAnsi="Arial"/>
                <w:sz w:val="16"/>
                <w:szCs w:val="16"/>
                <w:color w:val="auto"/>
              </w:rPr>
              <w:t>Sabre Corporation</w:t>
            </w:r>
          </w:p>
        </w:tc>
      </w:tr>
      <w:tr>
        <w:trPr>
          <w:trHeight w:val="553"/>
        </w:trPr>
        <w:tc>
          <w:tcPr>
            <w:tcW w:w="620" w:type="dxa"/>
            <w:vAlign w:val="bottom"/>
          </w:tcPr>
          <w:p>
            <w:pPr>
              <w:spacing w:after="0"/>
              <w:rPr>
                <w:sz w:val="20"/>
                <w:szCs w:val="20"/>
                <w:color w:val="auto"/>
              </w:rPr>
            </w:pPr>
            <w:r>
              <w:rPr>
                <w:rFonts w:ascii="Arial" w:cs="Arial" w:eastAsia="Arial" w:hAnsi="Arial"/>
                <w:sz w:val="16"/>
                <w:szCs w:val="16"/>
                <w:color w:val="auto"/>
              </w:rPr>
              <w:t>Dated:</w:t>
            </w:r>
          </w:p>
        </w:tc>
        <w:tc>
          <w:tcPr>
            <w:tcW w:w="3380" w:type="dxa"/>
            <w:vAlign w:val="bottom"/>
          </w:tcPr>
          <w:p>
            <w:pPr>
              <w:ind w:left="160"/>
              <w:spacing w:after="0"/>
              <w:rPr>
                <w:sz w:val="20"/>
                <w:szCs w:val="20"/>
                <w:color w:val="auto"/>
              </w:rPr>
            </w:pPr>
            <w:r>
              <w:rPr>
                <w:rFonts w:ascii="Arial" w:cs="Arial" w:eastAsia="Arial" w:hAnsi="Arial"/>
                <w:sz w:val="16"/>
                <w:szCs w:val="16"/>
                <w:color w:val="auto"/>
              </w:rPr>
              <w:t>May 8, 2020</w:t>
            </w:r>
          </w:p>
        </w:tc>
        <w:tc>
          <w:tcPr>
            <w:tcW w:w="3140" w:type="dxa"/>
            <w:vAlign w:val="bottom"/>
          </w:tcPr>
          <w:p>
            <w:pPr>
              <w:ind w:left="2340"/>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Douglas E. Barnett</w:t>
            </w:r>
          </w:p>
        </w:tc>
      </w:tr>
      <w:tr>
        <w:trPr>
          <w:trHeight w:val="223"/>
        </w:trPr>
        <w:tc>
          <w:tcPr>
            <w:tcW w:w="6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140" w:type="dxa"/>
            <w:vAlign w:val="bottom"/>
          </w:tcPr>
          <w:p>
            <w:pPr>
              <w:ind w:left="2340"/>
              <w:spacing w:after="0"/>
              <w:rPr>
                <w:sz w:val="20"/>
                <w:szCs w:val="20"/>
                <w:color w:val="auto"/>
              </w:rPr>
            </w:pPr>
            <w:r>
              <w:rPr>
                <w:rFonts w:ascii="Arial" w:cs="Arial" w:eastAsia="Arial" w:hAnsi="Arial"/>
                <w:sz w:val="16"/>
                <w:szCs w:val="16"/>
                <w:color w:val="auto"/>
              </w:rPr>
              <w:t>Name:</w:t>
            </w:r>
          </w:p>
        </w:tc>
        <w:tc>
          <w:tcPr>
            <w:tcW w:w="3940" w:type="dxa"/>
            <w:vAlign w:val="bottom"/>
          </w:tcPr>
          <w:p>
            <w:pPr>
              <w:ind w:left="20"/>
              <w:spacing w:after="0"/>
              <w:rPr>
                <w:sz w:val="20"/>
                <w:szCs w:val="20"/>
                <w:color w:val="auto"/>
              </w:rPr>
            </w:pPr>
            <w:r>
              <w:rPr>
                <w:rFonts w:ascii="Arial" w:cs="Arial" w:eastAsia="Arial" w:hAnsi="Arial"/>
                <w:sz w:val="16"/>
                <w:szCs w:val="16"/>
                <w:color w:val="auto"/>
              </w:rPr>
              <w:t>Douglas E. Barnett</w:t>
            </w:r>
          </w:p>
        </w:tc>
      </w:tr>
      <w:tr>
        <w:trPr>
          <w:trHeight w:val="243"/>
        </w:trPr>
        <w:tc>
          <w:tcPr>
            <w:tcW w:w="6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140" w:type="dxa"/>
            <w:vAlign w:val="bottom"/>
          </w:tcPr>
          <w:p>
            <w:pPr>
              <w:ind w:left="2340"/>
              <w:spacing w:after="0"/>
              <w:rPr>
                <w:sz w:val="20"/>
                <w:szCs w:val="20"/>
                <w:color w:val="auto"/>
              </w:rPr>
            </w:pPr>
            <w:r>
              <w:rPr>
                <w:rFonts w:ascii="Arial" w:cs="Arial" w:eastAsia="Arial" w:hAnsi="Arial"/>
                <w:sz w:val="16"/>
                <w:szCs w:val="16"/>
                <w:color w:val="auto"/>
              </w:rPr>
              <w:t>Title:</w:t>
            </w:r>
          </w:p>
        </w:tc>
        <w:tc>
          <w:tcPr>
            <w:tcW w:w="39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140"/>
          </w:cols>
          <w:pgMar w:left="320" w:top="1404" w:right="4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3174365</wp:posOffset>
            </wp:positionH>
            <wp:positionV relativeFrom="page">
              <wp:posOffset>911860</wp:posOffset>
            </wp:positionV>
            <wp:extent cx="120015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001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Sabre bolsters financial position; reports first quarter 2020 results</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67"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Closed $1.1 billion secured and exchangeable notes offerings</w:t>
      </w:r>
    </w:p>
    <w:p>
      <w:pPr>
        <w:spacing w:after="0" w:line="67" w:lineRule="exact"/>
        <w:rPr>
          <w:rFonts w:ascii="Arial" w:cs="Arial" w:eastAsia="Arial" w:hAnsi="Arial"/>
          <w:sz w:val="20"/>
          <w:szCs w:val="20"/>
          <w:b w:val="1"/>
          <w:bCs w:val="1"/>
          <w:color w:val="auto"/>
        </w:rPr>
      </w:pPr>
    </w:p>
    <w:p>
      <w:pPr>
        <w:ind w:left="660" w:hanging="328"/>
        <w:spacing w:after="0" w:line="309" w:lineRule="auto"/>
        <w:tabs>
          <w:tab w:leader="none" w:pos="648"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Announced cost savings program with estimated savings of $325 million in 2020; largely variable cost base expected to provide ability to reduce costs further if necessary</w:t>
      </w:r>
    </w:p>
    <w:p>
      <w:pPr>
        <w:spacing w:after="0" w:line="1" w:lineRule="exact"/>
        <w:rPr>
          <w:rFonts w:ascii="Arial" w:cs="Arial" w:eastAsia="Arial" w:hAnsi="Arial"/>
          <w:sz w:val="20"/>
          <w:szCs w:val="20"/>
          <w:b w:val="1"/>
          <w:bCs w:val="1"/>
          <w:color w:val="auto"/>
        </w:rPr>
      </w:pPr>
    </w:p>
    <w:p>
      <w:pPr>
        <w:ind w:left="660" w:hanging="328"/>
        <w:spacing w:after="0" w:line="309" w:lineRule="auto"/>
        <w:tabs>
          <w:tab w:leader="none" w:pos="648"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measures announced to strengthen cash position include borrowings under revolving credit facility and suspension of dividends and share repurchases</w:t>
      </w:r>
    </w:p>
    <w:p>
      <w:pPr>
        <w:spacing w:after="0" w:line="1" w:lineRule="exact"/>
        <w:rPr>
          <w:rFonts w:ascii="Arial" w:cs="Arial" w:eastAsia="Arial" w:hAnsi="Arial"/>
          <w:sz w:val="20"/>
          <w:szCs w:val="20"/>
          <w:b w:val="1"/>
          <w:bCs w:val="1"/>
          <w:color w:val="auto"/>
        </w:rPr>
      </w:pPr>
    </w:p>
    <w:p>
      <w:pPr>
        <w:ind w:left="660" w:hanging="328"/>
        <w:spacing w:after="0" w:line="309" w:lineRule="auto"/>
        <w:tabs>
          <w:tab w:leader="none" w:pos="648"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Above liquidity and cost saving measures bolster financial position in response to challenges created by COVID-19 and its negative impact on the travel industry</w:t>
      </w:r>
    </w:p>
    <w:p>
      <w:pPr>
        <w:spacing w:after="0" w:line="1" w:lineRule="exact"/>
        <w:rPr>
          <w:rFonts w:ascii="Arial" w:cs="Arial" w:eastAsia="Arial" w:hAnsi="Arial"/>
          <w:sz w:val="20"/>
          <w:szCs w:val="20"/>
          <w:b w:val="1"/>
          <w:bCs w:val="1"/>
          <w:color w:val="auto"/>
        </w:rPr>
      </w:pPr>
    </w:p>
    <w:p>
      <w:pPr>
        <w:ind w:left="660" w:hanging="328"/>
        <w:spacing w:after="0" w:line="309" w:lineRule="auto"/>
        <w:tabs>
          <w:tab w:leader="none" w:pos="648"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Pro forma first quarter 2020 ending cash balance of $1.7 billion expected to provide adequate liquidity to weather prolonged adverse market environment</w:t>
      </w:r>
    </w:p>
    <w:p>
      <w:pPr>
        <w:spacing w:after="0" w:line="1" w:lineRule="exact"/>
        <w:rPr>
          <w:rFonts w:ascii="Arial" w:cs="Arial" w:eastAsia="Arial" w:hAnsi="Arial"/>
          <w:sz w:val="20"/>
          <w:szCs w:val="20"/>
          <w:b w:val="1"/>
          <w:b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Effective May 1, 2020, Sabre and Farelogix agreed to terminate the acquisition agreement</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2020 summary:</w:t>
      </w:r>
    </w:p>
    <w:p>
      <w:pPr>
        <w:spacing w:after="0" w:line="67"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First quarter revenue totaled $659 million</w:t>
      </w:r>
    </w:p>
    <w:p>
      <w:pPr>
        <w:spacing w:after="0" w:line="67" w:lineRule="exact"/>
        <w:rPr>
          <w:rFonts w:ascii="Arial" w:cs="Arial" w:eastAsia="Arial" w:hAnsi="Arial"/>
          <w:sz w:val="20"/>
          <w:szCs w:val="20"/>
          <w:b w:val="1"/>
          <w:bCs w:val="1"/>
          <w:color w:val="auto"/>
        </w:rPr>
      </w:pPr>
    </w:p>
    <w:p>
      <w:pPr>
        <w:ind w:left="660" w:right="20" w:hanging="328"/>
        <w:spacing w:after="0" w:line="309" w:lineRule="auto"/>
        <w:tabs>
          <w:tab w:leader="none" w:pos="648"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Net loss attributable to common stockholders of $213 million and net loss attributable to common stockholders per share (EPS) of ($0.78)</w:t>
      </w:r>
    </w:p>
    <w:p>
      <w:pPr>
        <w:spacing w:after="0" w:line="1" w:lineRule="exact"/>
        <w:rPr>
          <w:rFonts w:ascii="Arial" w:cs="Arial" w:eastAsia="Arial" w:hAnsi="Arial"/>
          <w:sz w:val="20"/>
          <w:szCs w:val="20"/>
          <w:b w:val="1"/>
          <w:bCs w:val="1"/>
          <w:color w:val="auto"/>
        </w:rPr>
      </w:pPr>
    </w:p>
    <w:p>
      <w:pPr>
        <w:ind w:left="640" w:hanging="308"/>
        <w:spacing w:after="0"/>
        <w:tabs>
          <w:tab w:leader="none" w:pos="64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Adjusted EPS of ($0.29)</w:t>
      </w:r>
    </w:p>
    <w:p>
      <w:pPr>
        <w:spacing w:after="0" w:line="67" w:lineRule="exact"/>
        <w:rPr>
          <w:rFonts w:ascii="Arial" w:cs="Arial" w:eastAsia="Arial" w:hAnsi="Arial"/>
          <w:sz w:val="20"/>
          <w:szCs w:val="20"/>
          <w:b w:val="1"/>
          <w:bCs w:val="1"/>
          <w:color w:val="auto"/>
        </w:rPr>
      </w:pPr>
    </w:p>
    <w:p>
      <w:pPr>
        <w:ind w:left="660" w:hanging="328"/>
        <w:spacing w:after="0" w:line="342" w:lineRule="auto"/>
        <w:tabs>
          <w:tab w:leader="none" w:pos="648"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All metrics were negatively impacted by COVID-19 pandemic, partially offset by variable cost relief and implementation of cost saving actions</w:t>
      </w:r>
    </w:p>
    <w:p>
      <w:pPr>
        <w:spacing w:after="0" w:line="206"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SOUTHLAKE, Texas – May 8, 2020 – Sabre Corporation ("Sabre" or the "Company") (NASDAQ: SABR) today announced financial results for the quarter ended March 31, 2020.</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"This is an unprecedented time of disruption in global travel. The COVID-19 pandemic represents a massive challenge to the travel industry. We are a global leader in the retailing, distribution and fulfillment of travel and a mission-critical solutions provider to the global travel industry," said Sean Menke, President and CEO. "We've experienced a rapid decline in airline and hotel bookings, exacerbated by significant cancellations. The environment remains uncertain, with reductions in airline capacity and a volatile macro environment. In response,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33"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have quickly taken a number of decisive actions, including announcing $325 million in expected cost reductions and improving our liquidity through financing measures. Two-thirds of our cost structure is variable, which helps provide protection in a prolonged downside scenario as well as the ability to implement further actions, if needed, in response to this developing situation.</w:t>
      </w:r>
    </w:p>
    <w:p>
      <w:pPr>
        <w:spacing w:after="0" w:line="235"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"The COVID-19 disruption comes amidst Sabre's successful execution of a multi-year shift to enhance our strategic positioning, including investment in our technology transformation and new strategic initiatives announced last quarter. Although we continue to work side by side on our technology transformation with Google, there will be delays in other strategic initiatives as Sabre or our customers put projects on hold or furlough employees. In addition, effective May 1, 2020, Sabre and Farelogix have agreed to terminate the acquisition agreement.</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"While the future impact of COVID-19 is still unknown, I believe the strength of our liquidity position, flexible cost structure, longstanding customer relationships and experienced management team will allow Sabre to endure this period of prolonged uncertainty. We take our responsibility to protect our business seriously and appreciate the sacrifices our global team has made to continue to deliver for our customers and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Q1 2020 Financial Summary</w:t>
      </w:r>
    </w:p>
    <w:p>
      <w:pPr>
        <w:spacing w:after="0" w:line="334"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Sabre consolidated first quarter revenue totaled $659 million, compared to $1,049 million in the first quarter of 2019. The decline in revenue was primarily due to significant reductions in air, hotel and other travel bookings driven by the COVID-19 pandemic and its unprecedented impact on the global travel industry.</w:t>
      </w:r>
    </w:p>
    <w:p>
      <w:pPr>
        <w:spacing w:after="0" w:line="234"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Operating loss was $151 million, versus operating income of $110 million in the first quarter of 2019. The decline in operating results in the quarter was primarily due to the significant decline in revenue driven by COVID-19, a $31 million increase in bad debt expense and a $25 million charge associated with recently announced cost saving actions. These impacts were partially offset by a decline in Travel Network incentive expenses and headcount-related expenses resulting from cost saving actions implemented in response to COVID-19.</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Net loss attributable to common stockholders totaled $213 million, versus net income of $57 million in the first quarter of 2019. Diluted net loss attributable to common stockholders per share totaled ($0.78), versus diluted net income attributable to common stockholders per share of $0.20 in the first quarter of 2019. The change in net income attributable to common stockholders was driven by the items impacting operating loss described above and a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33"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million charge recorded in connection with the termination of the Farelogix acquisition agreement, partially offset by a reduction in taxes.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Adjusted Operating Loss was $73 million, versus $156 million Adjusted Operating Income in the first quarter of 2019. The decline was primarily due to the significant decline in revenue driven by COVID-19 and increased bad debt expense, partially offset by a decline in Travel Network incentive expenses and headcount-related expenses resulting from cost saving actions implemented in response to COVID-19.</w:t>
      </w:r>
    </w:p>
    <w:p>
      <w:pPr>
        <w:spacing w:after="0" w:line="235"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For the quarter, Sabre reported Adjusted Net Loss from continuing operations per share (Adjusted EPS) of ($0.29), versus Adjusted Net Income from continuing operations per share of $0.34 in the first quarter of 2019.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With regards to Sabre's first quarter 2020 cash flows (versus prior year):</w:t>
      </w:r>
    </w:p>
    <w:p>
      <w:pPr>
        <w:spacing w:after="0" w:line="67"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Cash provided by operating activities totaled $40 million (vs. $152 million)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Cash used in investing activities totaled $33 million (vs. $38 million)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Cash provided by financing activities totaled $238 million (vs. $164 million used in)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Capitalized expenditures totaled $28 million (vs. $38 million)</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First quarter Free Cash Flow totaled $12 million, versus $114 million in the first quarter of 2019.</w:t>
      </w:r>
    </w:p>
    <w:p>
      <w:pPr>
        <w:spacing w:after="0" w:line="31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During the first quarter of 2020, Sabre returned $39 million to shareholders through a quarterly dividend payment on March 30, 2020. Sabre's Board of Directors has voted to suspend the payment of quarterly cash dividends on Sabre's common stock, effective after the March 30, 2020 payment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tcPr>
          <w:p>
            <w:pPr>
              <w:ind w:left="20"/>
              <w:spacing w:after="0"/>
              <w:rPr>
                <w:sz w:val="20"/>
                <w:szCs w:val="20"/>
                <w:color w:val="auto"/>
              </w:rPr>
            </w:pPr>
            <w:r>
              <w:rPr>
                <w:rFonts w:ascii="Arial" w:cs="Arial" w:eastAsia="Arial" w:hAnsi="Arial"/>
                <w:sz w:val="14"/>
                <w:szCs w:val="14"/>
                <w:color w:val="auto"/>
              </w:rPr>
              <w:t>Financial Highlights</w:t>
            </w:r>
          </w:p>
        </w:tc>
        <w:tc>
          <w:tcPr>
            <w:tcW w:w="420" w:type="dxa"/>
            <w:vAlign w:val="bottom"/>
            <w:tcBorders>
              <w:bottom w:val="single" w:sz="8" w:color="800000"/>
            </w:tcBorders>
          </w:tcPr>
          <w:p>
            <w:pPr>
              <w:spacing w:after="0"/>
              <w:rPr>
                <w:sz w:val="17"/>
                <w:szCs w:val="17"/>
                <w:color w:val="auto"/>
              </w:rPr>
            </w:pPr>
          </w:p>
        </w:tc>
        <w:tc>
          <w:tcPr>
            <w:tcW w:w="3400" w:type="dxa"/>
            <w:vAlign w:val="bottom"/>
            <w:tcBorders>
              <w:bottom w:val="single" w:sz="8" w:color="800000"/>
            </w:tcBorders>
            <w:gridSpan w:val="3"/>
          </w:tcPr>
          <w:p>
            <w:pPr>
              <w:jc w:val="right"/>
              <w:ind w:right="184"/>
              <w:spacing w:after="0"/>
              <w:rPr>
                <w:sz w:val="20"/>
                <w:szCs w:val="20"/>
                <w:color w:val="auto"/>
              </w:rPr>
            </w:pPr>
            <w:r>
              <w:rPr>
                <w:rFonts w:ascii="Arial" w:cs="Arial" w:eastAsia="Arial" w:hAnsi="Arial"/>
                <w:sz w:val="14"/>
                <w:szCs w:val="14"/>
                <w:b w:val="1"/>
                <w:bCs w:val="1"/>
                <w:color w:val="auto"/>
              </w:rPr>
              <w:t>Three Months Ended March 31,</w:t>
            </w:r>
          </w:p>
        </w:tc>
        <w:tc>
          <w:tcPr>
            <w:tcW w:w="1180" w:type="dxa"/>
            <w:vAlign w:val="bottom"/>
            <w:tcBorders>
              <w:bottom w:val="single" w:sz="8" w:color="800000"/>
            </w:tcBorders>
          </w:tcPr>
          <w:p>
            <w:pPr>
              <w:spacing w:after="0"/>
              <w:rPr>
                <w:sz w:val="17"/>
                <w:szCs w:val="17"/>
                <w:color w:val="auto"/>
              </w:rPr>
            </w:pPr>
          </w:p>
        </w:tc>
      </w:tr>
      <w:tr>
        <w:trPr>
          <w:trHeight w:val="209"/>
        </w:trPr>
        <w:tc>
          <w:tcPr>
            <w:tcW w:w="6240" w:type="dxa"/>
            <w:vAlign w:val="bottom"/>
            <w:tcBorders>
              <w:bottom w:val="single" w:sz="8" w:color="800000"/>
            </w:tcBorders>
          </w:tcPr>
          <w:p>
            <w:pPr>
              <w:ind w:left="20"/>
              <w:spacing w:after="0"/>
              <w:rPr>
                <w:sz w:val="20"/>
                <w:szCs w:val="20"/>
                <w:color w:val="auto"/>
              </w:rPr>
            </w:pPr>
            <w:r>
              <w:rPr>
                <w:rFonts w:ascii="Arial" w:cs="Arial" w:eastAsia="Arial" w:hAnsi="Arial"/>
                <w:sz w:val="14"/>
                <w:szCs w:val="14"/>
                <w:color w:val="auto"/>
              </w:rPr>
              <w:t>(in thousands, except for EPS; unaudited):</w:t>
            </w:r>
          </w:p>
        </w:tc>
        <w:tc>
          <w:tcPr>
            <w:tcW w:w="420" w:type="dxa"/>
            <w:vAlign w:val="bottom"/>
            <w:tcBorders>
              <w:bottom w:val="single" w:sz="8" w:color="800000"/>
            </w:tcBorders>
          </w:tcPr>
          <w:p>
            <w:pPr>
              <w:spacing w:after="0"/>
              <w:rPr>
                <w:sz w:val="18"/>
                <w:szCs w:val="18"/>
                <w:color w:val="auto"/>
              </w:rPr>
            </w:pPr>
          </w:p>
        </w:tc>
        <w:tc>
          <w:tcPr>
            <w:tcW w:w="1420" w:type="dxa"/>
            <w:vAlign w:val="bottom"/>
            <w:tcBorders>
              <w:bottom w:val="single" w:sz="8" w:color="800000"/>
            </w:tcBorders>
          </w:tcPr>
          <w:p>
            <w:pPr>
              <w:jc w:val="right"/>
              <w:ind w:right="724"/>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800000"/>
            </w:tcBorders>
          </w:tcPr>
          <w:p>
            <w:pPr>
              <w:spacing w:after="0"/>
              <w:rPr>
                <w:sz w:val="18"/>
                <w:szCs w:val="18"/>
                <w:color w:val="auto"/>
              </w:rPr>
            </w:pPr>
          </w:p>
        </w:tc>
        <w:tc>
          <w:tcPr>
            <w:tcW w:w="1520" w:type="dxa"/>
            <w:vAlign w:val="bottom"/>
            <w:tcBorders>
              <w:bottom w:val="single" w:sz="8" w:color="800000"/>
            </w:tcBorders>
          </w:tcPr>
          <w:p>
            <w:pPr>
              <w:jc w:val="right"/>
              <w:ind w:right="824"/>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800000"/>
            </w:tcBorders>
          </w:tcPr>
          <w:p>
            <w:pPr>
              <w:jc w:val="center"/>
              <w:ind w:right="4"/>
              <w:spacing w:after="0"/>
              <w:rPr>
                <w:sz w:val="20"/>
                <w:szCs w:val="20"/>
                <w:color w:val="auto"/>
              </w:rPr>
            </w:pPr>
            <w:r>
              <w:rPr>
                <w:rFonts w:ascii="Arial" w:cs="Arial" w:eastAsia="Arial" w:hAnsi="Arial"/>
                <w:sz w:val="14"/>
                <w:szCs w:val="14"/>
                <w:b w:val="1"/>
                <w:bCs w:val="1"/>
                <w:color w:val="auto"/>
              </w:rPr>
              <w:t>% Change</w:t>
            </w:r>
          </w:p>
        </w:tc>
      </w:tr>
      <w:tr>
        <w:trPr>
          <w:trHeight w:val="243"/>
        </w:trPr>
        <w:tc>
          <w:tcPr>
            <w:tcW w:w="6240" w:type="dxa"/>
            <w:vAlign w:val="bottom"/>
            <w:shd w:val="clear" w:color="auto" w:fill="F2DCDB"/>
          </w:tcPr>
          <w:p>
            <w:pPr>
              <w:ind w:left="20"/>
              <w:spacing w:after="0"/>
              <w:rPr>
                <w:sz w:val="20"/>
                <w:szCs w:val="20"/>
                <w:color w:val="auto"/>
              </w:rPr>
            </w:pPr>
            <w:r>
              <w:rPr>
                <w:rFonts w:ascii="Arial" w:cs="Arial" w:eastAsia="Arial" w:hAnsi="Arial"/>
                <w:sz w:val="16"/>
                <w:szCs w:val="16"/>
                <w:color w:val="auto"/>
              </w:rPr>
              <w:t>Total Company:</w:t>
            </w:r>
          </w:p>
        </w:tc>
        <w:tc>
          <w:tcPr>
            <w:tcW w:w="420" w:type="dxa"/>
            <w:vAlign w:val="bottom"/>
            <w:shd w:val="clear" w:color="auto" w:fill="F2DCDB"/>
          </w:tcPr>
          <w:p>
            <w:pPr>
              <w:spacing w:after="0"/>
              <w:rPr>
                <w:sz w:val="21"/>
                <w:szCs w:val="21"/>
                <w:color w:val="auto"/>
              </w:rPr>
            </w:pPr>
          </w:p>
        </w:tc>
        <w:tc>
          <w:tcPr>
            <w:tcW w:w="1420" w:type="dxa"/>
            <w:vAlign w:val="bottom"/>
            <w:shd w:val="clear" w:color="auto" w:fill="F2DCDB"/>
          </w:tcPr>
          <w:p>
            <w:pPr>
              <w:spacing w:after="0"/>
              <w:rPr>
                <w:sz w:val="21"/>
                <w:szCs w:val="21"/>
                <w:color w:val="auto"/>
              </w:rPr>
            </w:pPr>
          </w:p>
        </w:tc>
        <w:tc>
          <w:tcPr>
            <w:tcW w:w="460" w:type="dxa"/>
            <w:vAlign w:val="bottom"/>
            <w:shd w:val="clear" w:color="auto" w:fill="F2DCDB"/>
          </w:tcPr>
          <w:p>
            <w:pPr>
              <w:spacing w:after="0"/>
              <w:rPr>
                <w:sz w:val="21"/>
                <w:szCs w:val="21"/>
                <w:color w:val="auto"/>
              </w:rPr>
            </w:pPr>
          </w:p>
        </w:tc>
        <w:tc>
          <w:tcPr>
            <w:tcW w:w="1520" w:type="dxa"/>
            <w:vAlign w:val="bottom"/>
            <w:shd w:val="clear" w:color="auto" w:fill="F2DCDB"/>
          </w:tcPr>
          <w:p>
            <w:pPr>
              <w:spacing w:after="0"/>
              <w:rPr>
                <w:sz w:val="21"/>
                <w:szCs w:val="21"/>
                <w:color w:val="auto"/>
              </w:rPr>
            </w:pPr>
          </w:p>
        </w:tc>
        <w:tc>
          <w:tcPr>
            <w:tcW w:w="1180" w:type="dxa"/>
            <w:vAlign w:val="bottom"/>
            <w:shd w:val="clear" w:color="auto" w:fill="F2DCDB"/>
          </w:tcPr>
          <w:p>
            <w:pPr>
              <w:spacing w:after="0"/>
              <w:rPr>
                <w:sz w:val="21"/>
                <w:szCs w:val="21"/>
                <w:color w:val="auto"/>
              </w:rPr>
            </w:pPr>
          </w:p>
        </w:tc>
      </w:tr>
      <w:tr>
        <w:trPr>
          <w:trHeight w:val="3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Revenue</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658,977</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1,049,361</w:t>
            </w:r>
          </w:p>
        </w:tc>
        <w:tc>
          <w:tcPr>
            <w:tcW w:w="1180" w:type="dxa"/>
            <w:vAlign w:val="bottom"/>
          </w:tcPr>
          <w:p>
            <w:pPr>
              <w:jc w:val="center"/>
              <w:spacing w:after="0"/>
              <w:rPr>
                <w:sz w:val="20"/>
                <w:szCs w:val="20"/>
                <w:color w:val="auto"/>
              </w:rPr>
            </w:pPr>
            <w:r>
              <w:rPr>
                <w:rFonts w:ascii="Arial" w:cs="Arial" w:eastAsia="Arial" w:hAnsi="Arial"/>
                <w:sz w:val="15"/>
                <w:szCs w:val="15"/>
                <w:color w:val="auto"/>
              </w:rPr>
              <w:t>(37.2)</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Operating (loss) income</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64"/>
              <w:spacing w:after="0"/>
              <w:rPr>
                <w:sz w:val="20"/>
                <w:szCs w:val="20"/>
                <w:color w:val="auto"/>
              </w:rPr>
            </w:pPr>
            <w:r>
              <w:rPr>
                <w:rFonts w:ascii="Arial" w:cs="Arial" w:eastAsia="Arial" w:hAnsi="Arial"/>
                <w:sz w:val="15"/>
                <w:szCs w:val="15"/>
                <w:color w:val="auto"/>
              </w:rPr>
              <w:t>(151,411)</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110,407</w:t>
            </w:r>
          </w:p>
        </w:tc>
        <w:tc>
          <w:tcPr>
            <w:tcW w:w="1180" w:type="dxa"/>
            <w:vAlign w:val="bottom"/>
          </w:tcPr>
          <w:p>
            <w:pPr>
              <w:jc w:val="center"/>
              <w:ind w:right="4"/>
              <w:spacing w:after="0"/>
              <w:rPr>
                <w:sz w:val="20"/>
                <w:szCs w:val="20"/>
                <w:color w:val="auto"/>
              </w:rPr>
            </w:pPr>
            <w:r>
              <w:rPr>
                <w:rFonts w:ascii="Arial" w:cs="Arial" w:eastAsia="Arial" w:hAnsi="Arial"/>
                <w:sz w:val="15"/>
                <w:szCs w:val="15"/>
                <w:color w:val="auto"/>
              </w:rPr>
              <w:t>(237.1)</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Net (loss) income attributable to common stockholders</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64"/>
              <w:spacing w:after="0"/>
              <w:rPr>
                <w:sz w:val="20"/>
                <w:szCs w:val="20"/>
                <w:color w:val="auto"/>
              </w:rPr>
            </w:pPr>
            <w:r>
              <w:rPr>
                <w:rFonts w:ascii="Arial" w:cs="Arial" w:eastAsia="Arial" w:hAnsi="Arial"/>
                <w:sz w:val="15"/>
                <w:szCs w:val="15"/>
                <w:color w:val="auto"/>
              </w:rPr>
              <w:t>(212,680)</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56,850</w:t>
            </w:r>
          </w:p>
        </w:tc>
        <w:tc>
          <w:tcPr>
            <w:tcW w:w="1180" w:type="dxa"/>
            <w:vAlign w:val="bottom"/>
          </w:tcPr>
          <w:p>
            <w:pPr>
              <w:jc w:val="center"/>
              <w:ind w:right="4"/>
              <w:spacing w:after="0"/>
              <w:rPr>
                <w:sz w:val="20"/>
                <w:szCs w:val="20"/>
                <w:color w:val="auto"/>
              </w:rPr>
            </w:pPr>
            <w:r>
              <w:rPr>
                <w:rFonts w:ascii="Arial" w:cs="Arial" w:eastAsia="Arial" w:hAnsi="Arial"/>
                <w:sz w:val="15"/>
                <w:szCs w:val="15"/>
                <w:color w:val="auto"/>
              </w:rPr>
              <w:t>(474.1)</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Diluted net (loss) income attributable to common stockholders per share (EPS)</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64"/>
              <w:spacing w:after="0"/>
              <w:rPr>
                <w:sz w:val="20"/>
                <w:szCs w:val="20"/>
                <w:color w:val="auto"/>
              </w:rPr>
            </w:pPr>
            <w:r>
              <w:rPr>
                <w:rFonts w:ascii="Arial" w:cs="Arial" w:eastAsia="Arial" w:hAnsi="Arial"/>
                <w:sz w:val="15"/>
                <w:szCs w:val="15"/>
                <w:color w:val="auto"/>
              </w:rPr>
              <w:t>(0.78)</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0.20</w:t>
            </w:r>
          </w:p>
        </w:tc>
        <w:tc>
          <w:tcPr>
            <w:tcW w:w="1180" w:type="dxa"/>
            <w:vAlign w:val="bottom"/>
          </w:tcPr>
          <w:p>
            <w:pPr>
              <w:jc w:val="center"/>
              <w:ind w:right="4"/>
              <w:spacing w:after="0"/>
              <w:rPr>
                <w:sz w:val="20"/>
                <w:szCs w:val="20"/>
                <w:color w:val="auto"/>
              </w:rPr>
            </w:pPr>
            <w:r>
              <w:rPr>
                <w:rFonts w:ascii="Arial" w:cs="Arial" w:eastAsia="Arial" w:hAnsi="Arial"/>
                <w:sz w:val="15"/>
                <w:szCs w:val="15"/>
                <w:color w:val="auto"/>
              </w:rPr>
              <w:t>(490.0)</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Adjusted Gross Profit*</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167,100</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373,090</w:t>
            </w:r>
          </w:p>
        </w:tc>
        <w:tc>
          <w:tcPr>
            <w:tcW w:w="1180" w:type="dxa"/>
            <w:vAlign w:val="bottom"/>
          </w:tcPr>
          <w:p>
            <w:pPr>
              <w:jc w:val="center"/>
              <w:spacing w:after="0"/>
              <w:rPr>
                <w:sz w:val="20"/>
                <w:szCs w:val="20"/>
                <w:color w:val="auto"/>
              </w:rPr>
            </w:pPr>
            <w:r>
              <w:rPr>
                <w:rFonts w:ascii="Arial" w:cs="Arial" w:eastAsia="Arial" w:hAnsi="Arial"/>
                <w:sz w:val="15"/>
                <w:szCs w:val="15"/>
                <w:color w:val="auto"/>
              </w:rPr>
              <w:t>(55.2)</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Adjusted EBITDA*</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24,403</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262,349</w:t>
            </w:r>
          </w:p>
        </w:tc>
        <w:tc>
          <w:tcPr>
            <w:tcW w:w="1180" w:type="dxa"/>
            <w:vAlign w:val="bottom"/>
          </w:tcPr>
          <w:p>
            <w:pPr>
              <w:jc w:val="center"/>
              <w:spacing w:after="0"/>
              <w:rPr>
                <w:sz w:val="20"/>
                <w:szCs w:val="20"/>
                <w:color w:val="auto"/>
              </w:rPr>
            </w:pPr>
            <w:r>
              <w:rPr>
                <w:rFonts w:ascii="Arial" w:cs="Arial" w:eastAsia="Arial" w:hAnsi="Arial"/>
                <w:sz w:val="15"/>
                <w:szCs w:val="15"/>
                <w:color w:val="auto"/>
              </w:rPr>
              <w:t>(90.7)</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Adjusted EBITDA Margin*</w:t>
            </w:r>
          </w:p>
        </w:tc>
        <w:tc>
          <w:tcPr>
            <w:tcW w:w="420" w:type="dxa"/>
            <w:vAlign w:val="bottom"/>
          </w:tcPr>
          <w:p>
            <w:pPr>
              <w:spacing w:after="0"/>
              <w:rPr>
                <w:sz w:val="18"/>
                <w:szCs w:val="18"/>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3.7 %</w:t>
            </w:r>
          </w:p>
        </w:tc>
        <w:tc>
          <w:tcPr>
            <w:tcW w:w="460" w:type="dxa"/>
            <w:vAlign w:val="bottom"/>
          </w:tcPr>
          <w:p>
            <w:pPr>
              <w:spacing w:after="0"/>
              <w:rPr>
                <w:sz w:val="18"/>
                <w:szCs w:val="18"/>
                <w:color w:val="auto"/>
              </w:rPr>
            </w:pPr>
          </w:p>
        </w:tc>
        <w:tc>
          <w:tcPr>
            <w:tcW w:w="1520" w:type="dxa"/>
            <w:vAlign w:val="bottom"/>
          </w:tcPr>
          <w:p>
            <w:pPr>
              <w:jc w:val="right"/>
              <w:ind w:right="144"/>
              <w:spacing w:after="0"/>
              <w:rPr>
                <w:sz w:val="20"/>
                <w:szCs w:val="20"/>
                <w:color w:val="auto"/>
              </w:rPr>
            </w:pPr>
            <w:r>
              <w:rPr>
                <w:rFonts w:ascii="Arial" w:cs="Arial" w:eastAsia="Arial" w:hAnsi="Arial"/>
                <w:sz w:val="15"/>
                <w:szCs w:val="15"/>
                <w:color w:val="auto"/>
              </w:rPr>
              <w:t>25.0 %</w:t>
            </w:r>
          </w:p>
        </w:tc>
        <w:tc>
          <w:tcPr>
            <w:tcW w:w="1180" w:type="dxa"/>
            <w:vAlign w:val="bottom"/>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Adjusted Operating (Loss) Income*</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64"/>
              <w:spacing w:after="0"/>
              <w:rPr>
                <w:sz w:val="20"/>
                <w:szCs w:val="20"/>
                <w:color w:val="auto"/>
              </w:rPr>
            </w:pPr>
            <w:r>
              <w:rPr>
                <w:rFonts w:ascii="Arial" w:cs="Arial" w:eastAsia="Arial" w:hAnsi="Arial"/>
                <w:sz w:val="15"/>
                <w:szCs w:val="15"/>
                <w:color w:val="auto"/>
              </w:rPr>
              <w:t>(72,870)</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155,762</w:t>
            </w:r>
          </w:p>
        </w:tc>
        <w:tc>
          <w:tcPr>
            <w:tcW w:w="1180" w:type="dxa"/>
            <w:vAlign w:val="bottom"/>
          </w:tcPr>
          <w:p>
            <w:pPr>
              <w:jc w:val="center"/>
              <w:ind w:right="4"/>
              <w:spacing w:after="0"/>
              <w:rPr>
                <w:sz w:val="20"/>
                <w:szCs w:val="20"/>
                <w:color w:val="auto"/>
              </w:rPr>
            </w:pPr>
            <w:r>
              <w:rPr>
                <w:rFonts w:ascii="Arial" w:cs="Arial" w:eastAsia="Arial" w:hAnsi="Arial"/>
                <w:sz w:val="15"/>
                <w:szCs w:val="15"/>
                <w:color w:val="auto"/>
              </w:rPr>
              <w:t>(146.8)</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Adjusted Net (Loss) Income*</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64"/>
              <w:spacing w:after="0"/>
              <w:rPr>
                <w:sz w:val="20"/>
                <w:szCs w:val="20"/>
                <w:color w:val="auto"/>
              </w:rPr>
            </w:pPr>
            <w:r>
              <w:rPr>
                <w:rFonts w:ascii="Arial" w:cs="Arial" w:eastAsia="Arial" w:hAnsi="Arial"/>
                <w:sz w:val="15"/>
                <w:szCs w:val="15"/>
                <w:color w:val="auto"/>
              </w:rPr>
              <w:t>(79,976)</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94,199</w:t>
            </w:r>
          </w:p>
        </w:tc>
        <w:tc>
          <w:tcPr>
            <w:tcW w:w="1180" w:type="dxa"/>
            <w:vAlign w:val="bottom"/>
          </w:tcPr>
          <w:p>
            <w:pPr>
              <w:jc w:val="center"/>
              <w:ind w:right="4"/>
              <w:spacing w:after="0"/>
              <w:rPr>
                <w:sz w:val="20"/>
                <w:szCs w:val="20"/>
                <w:color w:val="auto"/>
              </w:rPr>
            </w:pPr>
            <w:r>
              <w:rPr>
                <w:rFonts w:ascii="Arial" w:cs="Arial" w:eastAsia="Arial" w:hAnsi="Arial"/>
                <w:sz w:val="15"/>
                <w:szCs w:val="15"/>
                <w:color w:val="auto"/>
              </w:rPr>
              <w:t>(184.9)</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Adjusted EPS*</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64"/>
              <w:spacing w:after="0"/>
              <w:rPr>
                <w:sz w:val="20"/>
                <w:szCs w:val="20"/>
                <w:color w:val="auto"/>
              </w:rPr>
            </w:pPr>
            <w:r>
              <w:rPr>
                <w:rFonts w:ascii="Arial" w:cs="Arial" w:eastAsia="Arial" w:hAnsi="Arial"/>
                <w:sz w:val="15"/>
                <w:szCs w:val="15"/>
                <w:color w:val="auto"/>
              </w:rPr>
              <w:t>(0.29)</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0.34</w:t>
            </w:r>
          </w:p>
        </w:tc>
        <w:tc>
          <w:tcPr>
            <w:tcW w:w="1180" w:type="dxa"/>
            <w:vAlign w:val="bottom"/>
          </w:tcPr>
          <w:p>
            <w:pPr>
              <w:jc w:val="center"/>
              <w:ind w:right="4"/>
              <w:spacing w:after="0"/>
              <w:rPr>
                <w:sz w:val="20"/>
                <w:szCs w:val="20"/>
                <w:color w:val="auto"/>
              </w:rPr>
            </w:pPr>
            <w:r>
              <w:rPr>
                <w:rFonts w:ascii="Arial" w:cs="Arial" w:eastAsia="Arial" w:hAnsi="Arial"/>
                <w:sz w:val="15"/>
                <w:szCs w:val="15"/>
                <w:color w:val="auto"/>
              </w:rPr>
              <w:t>(185.3)</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Cash provided by operating activities</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40,431</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152,000</w:t>
            </w:r>
          </w:p>
        </w:tc>
        <w:tc>
          <w:tcPr>
            <w:tcW w:w="1180" w:type="dxa"/>
            <w:vAlign w:val="bottom"/>
          </w:tcPr>
          <w:p>
            <w:pPr>
              <w:jc w:val="center"/>
              <w:spacing w:after="0"/>
              <w:rPr>
                <w:sz w:val="20"/>
                <w:szCs w:val="20"/>
                <w:color w:val="auto"/>
              </w:rPr>
            </w:pPr>
            <w:r>
              <w:rPr>
                <w:rFonts w:ascii="Arial" w:cs="Arial" w:eastAsia="Arial" w:hAnsi="Arial"/>
                <w:sz w:val="15"/>
                <w:szCs w:val="15"/>
                <w:color w:val="auto"/>
              </w:rPr>
              <w:t>(73.4)</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Cash used in investing activities</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64"/>
              <w:spacing w:after="0"/>
              <w:rPr>
                <w:sz w:val="20"/>
                <w:szCs w:val="20"/>
                <w:color w:val="auto"/>
              </w:rPr>
            </w:pPr>
            <w:r>
              <w:rPr>
                <w:rFonts w:ascii="Arial" w:cs="Arial" w:eastAsia="Arial" w:hAnsi="Arial"/>
                <w:sz w:val="15"/>
                <w:szCs w:val="15"/>
                <w:color w:val="auto"/>
              </w:rPr>
              <w:t>(32,850)</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04"/>
              <w:spacing w:after="0"/>
              <w:rPr>
                <w:sz w:val="20"/>
                <w:szCs w:val="20"/>
                <w:color w:val="auto"/>
              </w:rPr>
            </w:pPr>
            <w:r>
              <w:rPr>
                <w:rFonts w:ascii="Arial" w:cs="Arial" w:eastAsia="Arial" w:hAnsi="Arial"/>
                <w:sz w:val="15"/>
                <w:szCs w:val="15"/>
                <w:color w:val="auto"/>
              </w:rPr>
              <w:t>(37,864)</w:t>
            </w:r>
          </w:p>
        </w:tc>
        <w:tc>
          <w:tcPr>
            <w:tcW w:w="1180" w:type="dxa"/>
            <w:vAlign w:val="bottom"/>
          </w:tcPr>
          <w:p>
            <w:pPr>
              <w:jc w:val="center"/>
              <w:spacing w:after="0"/>
              <w:rPr>
                <w:sz w:val="20"/>
                <w:szCs w:val="20"/>
                <w:color w:val="auto"/>
              </w:rPr>
            </w:pPr>
            <w:r>
              <w:rPr>
                <w:rFonts w:ascii="Arial" w:cs="Arial" w:eastAsia="Arial" w:hAnsi="Arial"/>
                <w:sz w:val="15"/>
                <w:szCs w:val="15"/>
                <w:color w:val="auto"/>
              </w:rPr>
              <w:t>(13.2)</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Cash provided by (used in) financing activities</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238,146</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04"/>
              <w:spacing w:after="0"/>
              <w:rPr>
                <w:sz w:val="20"/>
                <w:szCs w:val="20"/>
                <w:color w:val="auto"/>
              </w:rPr>
            </w:pPr>
            <w:r>
              <w:rPr>
                <w:rFonts w:ascii="Arial" w:cs="Arial" w:eastAsia="Arial" w:hAnsi="Arial"/>
                <w:sz w:val="15"/>
                <w:szCs w:val="15"/>
                <w:color w:val="auto"/>
              </w:rPr>
              <w:t>(164,314)</w:t>
            </w:r>
          </w:p>
        </w:tc>
        <w:tc>
          <w:tcPr>
            <w:tcW w:w="1180" w:type="dxa"/>
            <w:vAlign w:val="bottom"/>
          </w:tcPr>
          <w:p>
            <w:pPr>
              <w:jc w:val="center"/>
              <w:spacing w:after="0"/>
              <w:rPr>
                <w:sz w:val="20"/>
                <w:szCs w:val="20"/>
                <w:color w:val="auto"/>
              </w:rPr>
            </w:pPr>
            <w:r>
              <w:rPr>
                <w:rFonts w:ascii="Arial" w:cs="Arial" w:eastAsia="Arial" w:hAnsi="Arial"/>
                <w:sz w:val="15"/>
                <w:szCs w:val="15"/>
                <w:color w:val="auto"/>
              </w:rPr>
              <w:t>NM</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Capitalized expenditures</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28,437</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37,864</w:t>
            </w:r>
          </w:p>
        </w:tc>
        <w:tc>
          <w:tcPr>
            <w:tcW w:w="1180" w:type="dxa"/>
            <w:vAlign w:val="bottom"/>
          </w:tcPr>
          <w:p>
            <w:pPr>
              <w:jc w:val="center"/>
              <w:spacing w:after="0"/>
              <w:rPr>
                <w:sz w:val="20"/>
                <w:szCs w:val="20"/>
                <w:color w:val="auto"/>
              </w:rPr>
            </w:pPr>
            <w:r>
              <w:rPr>
                <w:rFonts w:ascii="Arial" w:cs="Arial" w:eastAsia="Arial" w:hAnsi="Arial"/>
                <w:sz w:val="15"/>
                <w:szCs w:val="15"/>
                <w:color w:val="auto"/>
              </w:rPr>
              <w:t>(24.9)</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Free Cash Flow*</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11,994</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114,136</w:t>
            </w:r>
          </w:p>
        </w:tc>
        <w:tc>
          <w:tcPr>
            <w:tcW w:w="1180" w:type="dxa"/>
            <w:vAlign w:val="bottom"/>
          </w:tcPr>
          <w:p>
            <w:pPr>
              <w:jc w:val="center"/>
              <w:spacing w:after="0"/>
              <w:rPr>
                <w:sz w:val="20"/>
                <w:szCs w:val="20"/>
                <w:color w:val="auto"/>
              </w:rPr>
            </w:pPr>
            <w:r>
              <w:rPr>
                <w:rFonts w:ascii="Arial" w:cs="Arial" w:eastAsia="Arial" w:hAnsi="Arial"/>
                <w:sz w:val="15"/>
                <w:szCs w:val="15"/>
                <w:color w:val="auto"/>
              </w:rPr>
              <w:t>(89.5)</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Net Debt (total debt, less cash)</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3,033,589</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2,958.827</w:t>
            </w:r>
          </w:p>
        </w:tc>
        <w:tc>
          <w:tcPr>
            <w:tcW w:w="1180" w:type="dxa"/>
            <w:vAlign w:val="bottom"/>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Net Debt / LTM Adjusted EBITDA*</w:t>
            </w:r>
          </w:p>
        </w:tc>
        <w:tc>
          <w:tcPr>
            <w:tcW w:w="420" w:type="dxa"/>
            <w:vAlign w:val="bottom"/>
          </w:tcPr>
          <w:p>
            <w:pPr>
              <w:spacing w:after="0"/>
              <w:rPr>
                <w:sz w:val="18"/>
                <w:szCs w:val="18"/>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4.3x</w:t>
            </w:r>
          </w:p>
        </w:tc>
        <w:tc>
          <w:tcPr>
            <w:tcW w:w="460" w:type="dxa"/>
            <w:vAlign w:val="bottom"/>
          </w:tcPr>
          <w:p>
            <w:pPr>
              <w:spacing w:after="0"/>
              <w:rPr>
                <w:sz w:val="18"/>
                <w:szCs w:val="18"/>
                <w:color w:val="auto"/>
              </w:rPr>
            </w:pPr>
          </w:p>
        </w:tc>
        <w:tc>
          <w:tcPr>
            <w:tcW w:w="1520" w:type="dxa"/>
            <w:vAlign w:val="bottom"/>
          </w:tcPr>
          <w:p>
            <w:pPr>
              <w:jc w:val="right"/>
              <w:ind w:right="144"/>
              <w:spacing w:after="0"/>
              <w:rPr>
                <w:sz w:val="20"/>
                <w:szCs w:val="20"/>
                <w:color w:val="auto"/>
              </w:rPr>
            </w:pPr>
            <w:r>
              <w:rPr>
                <w:rFonts w:ascii="Arial" w:cs="Arial" w:eastAsia="Arial" w:hAnsi="Arial"/>
                <w:sz w:val="15"/>
                <w:szCs w:val="15"/>
                <w:color w:val="auto"/>
              </w:rPr>
              <w:t>2.7x</w:t>
            </w:r>
          </w:p>
        </w:tc>
        <w:tc>
          <w:tcPr>
            <w:tcW w:w="1180" w:type="dxa"/>
            <w:vAlign w:val="bottom"/>
          </w:tcPr>
          <w:p>
            <w:pPr>
              <w:spacing w:after="0"/>
              <w:rPr>
                <w:sz w:val="18"/>
                <w:szCs w:val="18"/>
                <w:color w:val="auto"/>
              </w:rPr>
            </w:pPr>
          </w:p>
        </w:tc>
      </w:tr>
      <w:tr>
        <w:trPr>
          <w:trHeight w:val="103"/>
        </w:trPr>
        <w:tc>
          <w:tcPr>
            <w:tcW w:w="6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43"/>
        </w:trPr>
        <w:tc>
          <w:tcPr>
            <w:tcW w:w="6240" w:type="dxa"/>
            <w:vAlign w:val="bottom"/>
            <w:shd w:val="clear" w:color="auto" w:fill="F2DCDB"/>
          </w:tcPr>
          <w:p>
            <w:pPr>
              <w:ind w:left="20"/>
              <w:spacing w:after="0"/>
              <w:rPr>
                <w:sz w:val="20"/>
                <w:szCs w:val="20"/>
                <w:color w:val="auto"/>
              </w:rPr>
            </w:pPr>
            <w:r>
              <w:rPr>
                <w:rFonts w:ascii="Arial" w:cs="Arial" w:eastAsia="Arial" w:hAnsi="Arial"/>
                <w:sz w:val="16"/>
                <w:szCs w:val="16"/>
                <w:color w:val="auto"/>
              </w:rPr>
              <w:t>Travel Network:</w:t>
            </w:r>
          </w:p>
        </w:tc>
        <w:tc>
          <w:tcPr>
            <w:tcW w:w="420" w:type="dxa"/>
            <w:vAlign w:val="bottom"/>
            <w:shd w:val="clear" w:color="auto" w:fill="F2DCDB"/>
          </w:tcPr>
          <w:p>
            <w:pPr>
              <w:spacing w:after="0"/>
              <w:rPr>
                <w:sz w:val="21"/>
                <w:szCs w:val="21"/>
                <w:color w:val="auto"/>
              </w:rPr>
            </w:pPr>
          </w:p>
        </w:tc>
        <w:tc>
          <w:tcPr>
            <w:tcW w:w="1420" w:type="dxa"/>
            <w:vAlign w:val="bottom"/>
            <w:shd w:val="clear" w:color="auto" w:fill="F2DCDB"/>
          </w:tcPr>
          <w:p>
            <w:pPr>
              <w:spacing w:after="0"/>
              <w:rPr>
                <w:sz w:val="21"/>
                <w:szCs w:val="21"/>
                <w:color w:val="auto"/>
              </w:rPr>
            </w:pPr>
          </w:p>
        </w:tc>
        <w:tc>
          <w:tcPr>
            <w:tcW w:w="460" w:type="dxa"/>
            <w:vAlign w:val="bottom"/>
            <w:shd w:val="clear" w:color="auto" w:fill="F2DCDB"/>
          </w:tcPr>
          <w:p>
            <w:pPr>
              <w:spacing w:after="0"/>
              <w:rPr>
                <w:sz w:val="21"/>
                <w:szCs w:val="21"/>
                <w:color w:val="auto"/>
              </w:rPr>
            </w:pPr>
          </w:p>
        </w:tc>
        <w:tc>
          <w:tcPr>
            <w:tcW w:w="1520" w:type="dxa"/>
            <w:vAlign w:val="bottom"/>
            <w:shd w:val="clear" w:color="auto" w:fill="F2DCDB"/>
          </w:tcPr>
          <w:p>
            <w:pPr>
              <w:spacing w:after="0"/>
              <w:rPr>
                <w:sz w:val="21"/>
                <w:szCs w:val="21"/>
                <w:color w:val="auto"/>
              </w:rPr>
            </w:pPr>
          </w:p>
        </w:tc>
        <w:tc>
          <w:tcPr>
            <w:tcW w:w="1180" w:type="dxa"/>
            <w:vAlign w:val="bottom"/>
            <w:shd w:val="clear" w:color="auto" w:fill="F2DCDB"/>
          </w:tcPr>
          <w:p>
            <w:pPr>
              <w:spacing w:after="0"/>
              <w:rPr>
                <w:sz w:val="21"/>
                <w:szCs w:val="21"/>
                <w:color w:val="auto"/>
              </w:rPr>
            </w:pPr>
          </w:p>
        </w:tc>
      </w:tr>
      <w:tr>
        <w:trPr>
          <w:trHeight w:val="262"/>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Revenue</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427,703</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773,968</w:t>
            </w:r>
          </w:p>
        </w:tc>
        <w:tc>
          <w:tcPr>
            <w:tcW w:w="1180" w:type="dxa"/>
            <w:vAlign w:val="bottom"/>
          </w:tcPr>
          <w:p>
            <w:pPr>
              <w:jc w:val="center"/>
              <w:spacing w:after="0"/>
              <w:rPr>
                <w:sz w:val="20"/>
                <w:szCs w:val="20"/>
                <w:color w:val="auto"/>
              </w:rPr>
            </w:pPr>
            <w:r>
              <w:rPr>
                <w:rFonts w:ascii="Arial" w:cs="Arial" w:eastAsia="Arial" w:hAnsi="Arial"/>
                <w:sz w:val="15"/>
                <w:szCs w:val="15"/>
                <w:color w:val="auto"/>
              </w:rPr>
              <w:t>(44.7)</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Transaction Revenue</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387,747</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730,765</w:t>
            </w:r>
          </w:p>
        </w:tc>
        <w:tc>
          <w:tcPr>
            <w:tcW w:w="1180" w:type="dxa"/>
            <w:vAlign w:val="bottom"/>
          </w:tcPr>
          <w:p>
            <w:pPr>
              <w:jc w:val="center"/>
              <w:spacing w:after="0"/>
              <w:rPr>
                <w:sz w:val="20"/>
                <w:szCs w:val="20"/>
                <w:color w:val="auto"/>
              </w:rPr>
            </w:pPr>
            <w:r>
              <w:rPr>
                <w:rFonts w:ascii="Arial" w:cs="Arial" w:eastAsia="Arial" w:hAnsi="Arial"/>
                <w:sz w:val="15"/>
                <w:szCs w:val="15"/>
                <w:color w:val="auto"/>
              </w:rPr>
              <w:t>(46.9)</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Subscriber / Other Revenue</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39,956</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43,203</w:t>
            </w:r>
          </w:p>
        </w:tc>
        <w:tc>
          <w:tcPr>
            <w:tcW w:w="1180" w:type="dxa"/>
            <w:vAlign w:val="bottom"/>
          </w:tcPr>
          <w:p>
            <w:pPr>
              <w:jc w:val="center"/>
              <w:ind w:right="4"/>
              <w:spacing w:after="0"/>
              <w:rPr>
                <w:sz w:val="20"/>
                <w:szCs w:val="20"/>
                <w:color w:val="auto"/>
              </w:rPr>
            </w:pPr>
            <w:r>
              <w:rPr>
                <w:rFonts w:ascii="Arial" w:cs="Arial" w:eastAsia="Arial" w:hAnsi="Arial"/>
                <w:sz w:val="15"/>
                <w:szCs w:val="15"/>
                <w:color w:val="auto"/>
                <w:w w:val="97"/>
              </w:rPr>
              <w:t>(7.5)</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Operating Income</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22,658</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192,639</w:t>
            </w:r>
          </w:p>
        </w:tc>
        <w:tc>
          <w:tcPr>
            <w:tcW w:w="1180" w:type="dxa"/>
            <w:vAlign w:val="bottom"/>
          </w:tcPr>
          <w:p>
            <w:pPr>
              <w:jc w:val="center"/>
              <w:spacing w:after="0"/>
              <w:rPr>
                <w:sz w:val="20"/>
                <w:szCs w:val="20"/>
                <w:color w:val="auto"/>
              </w:rPr>
            </w:pPr>
            <w:r>
              <w:rPr>
                <w:rFonts w:ascii="Arial" w:cs="Arial" w:eastAsia="Arial" w:hAnsi="Arial"/>
                <w:sz w:val="15"/>
                <w:szCs w:val="15"/>
                <w:color w:val="auto"/>
              </w:rPr>
              <w:t>(88.2)</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Adjusted Operating Income*</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21,972</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193,172</w:t>
            </w:r>
          </w:p>
        </w:tc>
        <w:tc>
          <w:tcPr>
            <w:tcW w:w="1180" w:type="dxa"/>
            <w:vAlign w:val="bottom"/>
          </w:tcPr>
          <w:p>
            <w:pPr>
              <w:jc w:val="center"/>
              <w:spacing w:after="0"/>
              <w:rPr>
                <w:sz w:val="20"/>
                <w:szCs w:val="20"/>
                <w:color w:val="auto"/>
              </w:rPr>
            </w:pPr>
            <w:r>
              <w:rPr>
                <w:rFonts w:ascii="Arial" w:cs="Arial" w:eastAsia="Arial" w:hAnsi="Arial"/>
                <w:sz w:val="15"/>
                <w:szCs w:val="15"/>
                <w:color w:val="auto"/>
              </w:rPr>
              <w:t>(88.6)</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Total Bookings</w:t>
            </w:r>
          </w:p>
        </w:tc>
        <w:tc>
          <w:tcPr>
            <w:tcW w:w="420" w:type="dxa"/>
            <w:vAlign w:val="bottom"/>
          </w:tcPr>
          <w:p>
            <w:pPr>
              <w:spacing w:after="0"/>
              <w:rPr>
                <w:sz w:val="18"/>
                <w:szCs w:val="18"/>
                <w:color w:val="auto"/>
              </w:rPr>
            </w:pP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85,753</w:t>
            </w:r>
          </w:p>
        </w:tc>
        <w:tc>
          <w:tcPr>
            <w:tcW w:w="460" w:type="dxa"/>
            <w:vAlign w:val="bottom"/>
          </w:tcPr>
          <w:p>
            <w:pPr>
              <w:spacing w:after="0"/>
              <w:rPr>
                <w:sz w:val="18"/>
                <w:szCs w:val="18"/>
                <w:color w:val="auto"/>
              </w:rPr>
            </w:pP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154,937</w:t>
            </w:r>
          </w:p>
        </w:tc>
        <w:tc>
          <w:tcPr>
            <w:tcW w:w="1180" w:type="dxa"/>
            <w:vAlign w:val="bottom"/>
          </w:tcPr>
          <w:p>
            <w:pPr>
              <w:jc w:val="center"/>
              <w:spacing w:after="0"/>
              <w:rPr>
                <w:sz w:val="20"/>
                <w:szCs w:val="20"/>
                <w:color w:val="auto"/>
              </w:rPr>
            </w:pPr>
            <w:r>
              <w:rPr>
                <w:rFonts w:ascii="Arial" w:cs="Arial" w:eastAsia="Arial" w:hAnsi="Arial"/>
                <w:sz w:val="15"/>
                <w:szCs w:val="15"/>
                <w:color w:val="auto"/>
              </w:rPr>
              <w:t>(44.7)</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Air Bookings</w:t>
            </w:r>
          </w:p>
        </w:tc>
        <w:tc>
          <w:tcPr>
            <w:tcW w:w="420" w:type="dxa"/>
            <w:vAlign w:val="bottom"/>
          </w:tcPr>
          <w:p>
            <w:pPr>
              <w:spacing w:after="0"/>
              <w:rPr>
                <w:sz w:val="18"/>
                <w:szCs w:val="18"/>
                <w:color w:val="auto"/>
              </w:rPr>
            </w:pP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72,823</w:t>
            </w:r>
          </w:p>
        </w:tc>
        <w:tc>
          <w:tcPr>
            <w:tcW w:w="460" w:type="dxa"/>
            <w:vAlign w:val="bottom"/>
          </w:tcPr>
          <w:p>
            <w:pPr>
              <w:spacing w:after="0"/>
              <w:rPr>
                <w:sz w:val="18"/>
                <w:szCs w:val="18"/>
                <w:color w:val="auto"/>
              </w:rPr>
            </w:pP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138,561</w:t>
            </w:r>
          </w:p>
        </w:tc>
        <w:tc>
          <w:tcPr>
            <w:tcW w:w="1180" w:type="dxa"/>
            <w:vAlign w:val="bottom"/>
          </w:tcPr>
          <w:p>
            <w:pPr>
              <w:jc w:val="center"/>
              <w:spacing w:after="0"/>
              <w:rPr>
                <w:sz w:val="20"/>
                <w:szCs w:val="20"/>
                <w:color w:val="auto"/>
              </w:rPr>
            </w:pPr>
            <w:r>
              <w:rPr>
                <w:rFonts w:ascii="Arial" w:cs="Arial" w:eastAsia="Arial" w:hAnsi="Arial"/>
                <w:sz w:val="15"/>
                <w:szCs w:val="15"/>
                <w:color w:val="auto"/>
              </w:rPr>
              <w:t>(47.4)</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Lodging, Ground and Sea Bookings</w:t>
            </w:r>
          </w:p>
        </w:tc>
        <w:tc>
          <w:tcPr>
            <w:tcW w:w="420" w:type="dxa"/>
            <w:vAlign w:val="bottom"/>
          </w:tcPr>
          <w:p>
            <w:pPr>
              <w:spacing w:after="0"/>
              <w:rPr>
                <w:sz w:val="18"/>
                <w:szCs w:val="18"/>
                <w:color w:val="auto"/>
              </w:rPr>
            </w:pP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12,930</w:t>
            </w:r>
          </w:p>
        </w:tc>
        <w:tc>
          <w:tcPr>
            <w:tcW w:w="460" w:type="dxa"/>
            <w:vAlign w:val="bottom"/>
          </w:tcPr>
          <w:p>
            <w:pPr>
              <w:spacing w:after="0"/>
              <w:rPr>
                <w:sz w:val="18"/>
                <w:szCs w:val="18"/>
                <w:color w:val="auto"/>
              </w:rPr>
            </w:pP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16,376</w:t>
            </w:r>
          </w:p>
        </w:tc>
        <w:tc>
          <w:tcPr>
            <w:tcW w:w="1180" w:type="dxa"/>
            <w:vAlign w:val="bottom"/>
          </w:tcPr>
          <w:p>
            <w:pPr>
              <w:jc w:val="center"/>
              <w:spacing w:after="0"/>
              <w:rPr>
                <w:sz w:val="20"/>
                <w:szCs w:val="20"/>
                <w:color w:val="auto"/>
              </w:rPr>
            </w:pPr>
            <w:r>
              <w:rPr>
                <w:rFonts w:ascii="Arial" w:cs="Arial" w:eastAsia="Arial" w:hAnsi="Arial"/>
                <w:sz w:val="15"/>
                <w:szCs w:val="15"/>
                <w:color w:val="auto"/>
              </w:rPr>
              <w:t>(21.0)</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Bookings Share</w:t>
            </w:r>
          </w:p>
        </w:tc>
        <w:tc>
          <w:tcPr>
            <w:tcW w:w="420" w:type="dxa"/>
            <w:vAlign w:val="bottom"/>
          </w:tcPr>
          <w:p>
            <w:pPr>
              <w:spacing w:after="0"/>
              <w:rPr>
                <w:sz w:val="18"/>
                <w:szCs w:val="18"/>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39.3 %</w:t>
            </w:r>
          </w:p>
        </w:tc>
        <w:tc>
          <w:tcPr>
            <w:tcW w:w="460" w:type="dxa"/>
            <w:vAlign w:val="bottom"/>
          </w:tcPr>
          <w:p>
            <w:pPr>
              <w:spacing w:after="0"/>
              <w:rPr>
                <w:sz w:val="18"/>
                <w:szCs w:val="18"/>
                <w:color w:val="auto"/>
              </w:rPr>
            </w:pPr>
          </w:p>
        </w:tc>
        <w:tc>
          <w:tcPr>
            <w:tcW w:w="1520" w:type="dxa"/>
            <w:vAlign w:val="bottom"/>
          </w:tcPr>
          <w:p>
            <w:pPr>
              <w:jc w:val="right"/>
              <w:ind w:right="144"/>
              <w:spacing w:after="0"/>
              <w:rPr>
                <w:sz w:val="20"/>
                <w:szCs w:val="20"/>
                <w:color w:val="auto"/>
              </w:rPr>
            </w:pPr>
            <w:r>
              <w:rPr>
                <w:rFonts w:ascii="Arial" w:cs="Arial" w:eastAsia="Arial" w:hAnsi="Arial"/>
                <w:sz w:val="15"/>
                <w:szCs w:val="15"/>
                <w:color w:val="auto"/>
              </w:rPr>
              <w:t>38.3 %</w:t>
            </w:r>
          </w:p>
        </w:tc>
        <w:tc>
          <w:tcPr>
            <w:tcW w:w="1180" w:type="dxa"/>
            <w:vAlign w:val="bottom"/>
          </w:tcPr>
          <w:p>
            <w:pPr>
              <w:spacing w:after="0"/>
              <w:rPr>
                <w:sz w:val="18"/>
                <w:szCs w:val="18"/>
                <w:color w:val="auto"/>
              </w:rPr>
            </w:pPr>
          </w:p>
        </w:tc>
      </w:tr>
      <w:tr>
        <w:trPr>
          <w:trHeight w:val="62"/>
        </w:trPr>
        <w:tc>
          <w:tcPr>
            <w:tcW w:w="6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43"/>
        </w:trPr>
        <w:tc>
          <w:tcPr>
            <w:tcW w:w="6240" w:type="dxa"/>
            <w:vAlign w:val="bottom"/>
            <w:shd w:val="clear" w:color="auto" w:fill="F2DCDB"/>
          </w:tcPr>
          <w:p>
            <w:pPr>
              <w:ind w:left="20"/>
              <w:spacing w:after="0"/>
              <w:rPr>
                <w:sz w:val="20"/>
                <w:szCs w:val="20"/>
                <w:color w:val="auto"/>
              </w:rPr>
            </w:pPr>
            <w:r>
              <w:rPr>
                <w:rFonts w:ascii="Arial" w:cs="Arial" w:eastAsia="Arial" w:hAnsi="Arial"/>
                <w:sz w:val="16"/>
                <w:szCs w:val="16"/>
                <w:color w:val="auto"/>
              </w:rPr>
              <w:t>Airline Solutions:</w:t>
            </w:r>
          </w:p>
        </w:tc>
        <w:tc>
          <w:tcPr>
            <w:tcW w:w="420" w:type="dxa"/>
            <w:vAlign w:val="bottom"/>
            <w:shd w:val="clear" w:color="auto" w:fill="F2DCDB"/>
          </w:tcPr>
          <w:p>
            <w:pPr>
              <w:spacing w:after="0"/>
              <w:rPr>
                <w:sz w:val="21"/>
                <w:szCs w:val="21"/>
                <w:color w:val="auto"/>
              </w:rPr>
            </w:pPr>
          </w:p>
        </w:tc>
        <w:tc>
          <w:tcPr>
            <w:tcW w:w="1420" w:type="dxa"/>
            <w:vAlign w:val="bottom"/>
            <w:shd w:val="clear" w:color="auto" w:fill="F2DCDB"/>
          </w:tcPr>
          <w:p>
            <w:pPr>
              <w:spacing w:after="0"/>
              <w:rPr>
                <w:sz w:val="21"/>
                <w:szCs w:val="21"/>
                <w:color w:val="auto"/>
              </w:rPr>
            </w:pPr>
          </w:p>
        </w:tc>
        <w:tc>
          <w:tcPr>
            <w:tcW w:w="460" w:type="dxa"/>
            <w:vAlign w:val="bottom"/>
            <w:shd w:val="clear" w:color="auto" w:fill="F2DCDB"/>
          </w:tcPr>
          <w:p>
            <w:pPr>
              <w:spacing w:after="0"/>
              <w:rPr>
                <w:sz w:val="21"/>
                <w:szCs w:val="21"/>
                <w:color w:val="auto"/>
              </w:rPr>
            </w:pPr>
          </w:p>
        </w:tc>
        <w:tc>
          <w:tcPr>
            <w:tcW w:w="1520" w:type="dxa"/>
            <w:vAlign w:val="bottom"/>
            <w:shd w:val="clear" w:color="auto" w:fill="F2DCDB"/>
          </w:tcPr>
          <w:p>
            <w:pPr>
              <w:spacing w:after="0"/>
              <w:rPr>
                <w:sz w:val="21"/>
                <w:szCs w:val="21"/>
                <w:color w:val="auto"/>
              </w:rPr>
            </w:pPr>
          </w:p>
        </w:tc>
        <w:tc>
          <w:tcPr>
            <w:tcW w:w="1180" w:type="dxa"/>
            <w:vAlign w:val="bottom"/>
            <w:shd w:val="clear" w:color="auto" w:fill="F2DCDB"/>
          </w:tcPr>
          <w:p>
            <w:pPr>
              <w:spacing w:after="0"/>
              <w:rPr>
                <w:sz w:val="21"/>
                <w:szCs w:val="21"/>
                <w:color w:val="auto"/>
              </w:rPr>
            </w:pPr>
          </w:p>
        </w:tc>
      </w:tr>
      <w:tr>
        <w:trPr>
          <w:trHeight w:val="262"/>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Revenue</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179,885</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212,927</w:t>
            </w:r>
          </w:p>
        </w:tc>
        <w:tc>
          <w:tcPr>
            <w:tcW w:w="1180" w:type="dxa"/>
            <w:vAlign w:val="bottom"/>
          </w:tcPr>
          <w:p>
            <w:pPr>
              <w:jc w:val="center"/>
              <w:spacing w:after="0"/>
              <w:rPr>
                <w:sz w:val="20"/>
                <w:szCs w:val="20"/>
                <w:color w:val="auto"/>
              </w:rPr>
            </w:pPr>
            <w:r>
              <w:rPr>
                <w:rFonts w:ascii="Arial" w:cs="Arial" w:eastAsia="Arial" w:hAnsi="Arial"/>
                <w:sz w:val="15"/>
                <w:szCs w:val="15"/>
                <w:color w:val="auto"/>
              </w:rPr>
              <w:t>(15.5)</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Operating (Loss) Income</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64"/>
              <w:spacing w:after="0"/>
              <w:rPr>
                <w:sz w:val="20"/>
                <w:szCs w:val="20"/>
                <w:color w:val="auto"/>
              </w:rPr>
            </w:pPr>
            <w:r>
              <w:rPr>
                <w:rFonts w:ascii="Arial" w:cs="Arial" w:eastAsia="Arial" w:hAnsi="Arial"/>
                <w:sz w:val="15"/>
                <w:szCs w:val="15"/>
                <w:color w:val="auto"/>
              </w:rPr>
              <w:t>(32,579)</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15,424</w:t>
            </w:r>
          </w:p>
        </w:tc>
        <w:tc>
          <w:tcPr>
            <w:tcW w:w="1180" w:type="dxa"/>
            <w:vAlign w:val="bottom"/>
          </w:tcPr>
          <w:p>
            <w:pPr>
              <w:jc w:val="center"/>
              <w:ind w:right="4"/>
              <w:spacing w:after="0"/>
              <w:rPr>
                <w:sz w:val="20"/>
                <w:szCs w:val="20"/>
                <w:color w:val="auto"/>
              </w:rPr>
            </w:pPr>
            <w:r>
              <w:rPr>
                <w:rFonts w:ascii="Arial" w:cs="Arial" w:eastAsia="Arial" w:hAnsi="Arial"/>
                <w:sz w:val="15"/>
                <w:szCs w:val="15"/>
                <w:color w:val="auto"/>
              </w:rPr>
              <w:t>(311.2)</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Adjusted Operating (Loss) Income*</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64"/>
              <w:spacing w:after="0"/>
              <w:rPr>
                <w:sz w:val="20"/>
                <w:szCs w:val="20"/>
                <w:color w:val="auto"/>
              </w:rPr>
            </w:pPr>
            <w:r>
              <w:rPr>
                <w:rFonts w:ascii="Arial" w:cs="Arial" w:eastAsia="Arial" w:hAnsi="Arial"/>
                <w:sz w:val="15"/>
                <w:szCs w:val="15"/>
                <w:color w:val="auto"/>
              </w:rPr>
              <w:t>(32,579)</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15,424</w:t>
            </w:r>
          </w:p>
        </w:tc>
        <w:tc>
          <w:tcPr>
            <w:tcW w:w="1180" w:type="dxa"/>
            <w:vAlign w:val="bottom"/>
          </w:tcPr>
          <w:p>
            <w:pPr>
              <w:jc w:val="center"/>
              <w:ind w:right="4"/>
              <w:spacing w:after="0"/>
              <w:rPr>
                <w:sz w:val="20"/>
                <w:szCs w:val="20"/>
                <w:color w:val="auto"/>
              </w:rPr>
            </w:pPr>
            <w:r>
              <w:rPr>
                <w:rFonts w:ascii="Arial" w:cs="Arial" w:eastAsia="Arial" w:hAnsi="Arial"/>
                <w:sz w:val="15"/>
                <w:szCs w:val="15"/>
                <w:color w:val="auto"/>
              </w:rPr>
              <w:t>(311.2)</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Passengers Boarded</w:t>
            </w:r>
          </w:p>
        </w:tc>
        <w:tc>
          <w:tcPr>
            <w:tcW w:w="420" w:type="dxa"/>
            <w:vAlign w:val="bottom"/>
          </w:tcPr>
          <w:p>
            <w:pPr>
              <w:spacing w:after="0"/>
              <w:rPr>
                <w:sz w:val="18"/>
                <w:szCs w:val="18"/>
                <w:color w:val="auto"/>
              </w:rPr>
            </w:pP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167,375</w:t>
            </w:r>
          </w:p>
        </w:tc>
        <w:tc>
          <w:tcPr>
            <w:tcW w:w="460" w:type="dxa"/>
            <w:vAlign w:val="bottom"/>
          </w:tcPr>
          <w:p>
            <w:pPr>
              <w:spacing w:after="0"/>
              <w:rPr>
                <w:sz w:val="18"/>
                <w:szCs w:val="18"/>
                <w:color w:val="auto"/>
              </w:rPr>
            </w:pP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186,177</w:t>
            </w:r>
          </w:p>
        </w:tc>
        <w:tc>
          <w:tcPr>
            <w:tcW w:w="1180" w:type="dxa"/>
            <w:vAlign w:val="bottom"/>
          </w:tcPr>
          <w:p>
            <w:pPr>
              <w:jc w:val="center"/>
              <w:spacing w:after="0"/>
              <w:rPr>
                <w:sz w:val="20"/>
                <w:szCs w:val="20"/>
                <w:color w:val="auto"/>
              </w:rPr>
            </w:pPr>
            <w:r>
              <w:rPr>
                <w:rFonts w:ascii="Arial" w:cs="Arial" w:eastAsia="Arial" w:hAnsi="Arial"/>
                <w:sz w:val="15"/>
                <w:szCs w:val="15"/>
                <w:color w:val="auto"/>
              </w:rPr>
              <w:t>(10.1)</w:t>
            </w:r>
          </w:p>
        </w:tc>
      </w:tr>
      <w:tr>
        <w:trPr>
          <w:trHeight w:val="62"/>
        </w:trPr>
        <w:tc>
          <w:tcPr>
            <w:tcW w:w="6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43"/>
        </w:trPr>
        <w:tc>
          <w:tcPr>
            <w:tcW w:w="6240" w:type="dxa"/>
            <w:vAlign w:val="bottom"/>
            <w:shd w:val="clear" w:color="auto" w:fill="F2DCDB"/>
          </w:tcPr>
          <w:p>
            <w:pPr>
              <w:ind w:left="20"/>
              <w:spacing w:after="0"/>
              <w:rPr>
                <w:sz w:val="20"/>
                <w:szCs w:val="20"/>
                <w:color w:val="auto"/>
              </w:rPr>
            </w:pPr>
            <w:r>
              <w:rPr>
                <w:rFonts w:ascii="Arial" w:cs="Arial" w:eastAsia="Arial" w:hAnsi="Arial"/>
                <w:sz w:val="16"/>
                <w:szCs w:val="16"/>
                <w:color w:val="auto"/>
              </w:rPr>
              <w:t>Hospitality Solutions:</w:t>
            </w:r>
          </w:p>
        </w:tc>
        <w:tc>
          <w:tcPr>
            <w:tcW w:w="420" w:type="dxa"/>
            <w:vAlign w:val="bottom"/>
            <w:shd w:val="clear" w:color="auto" w:fill="F2DCDB"/>
          </w:tcPr>
          <w:p>
            <w:pPr>
              <w:spacing w:after="0"/>
              <w:rPr>
                <w:sz w:val="21"/>
                <w:szCs w:val="21"/>
                <w:color w:val="auto"/>
              </w:rPr>
            </w:pPr>
          </w:p>
        </w:tc>
        <w:tc>
          <w:tcPr>
            <w:tcW w:w="1420" w:type="dxa"/>
            <w:vAlign w:val="bottom"/>
            <w:shd w:val="clear" w:color="auto" w:fill="F2DCDB"/>
          </w:tcPr>
          <w:p>
            <w:pPr>
              <w:spacing w:after="0"/>
              <w:rPr>
                <w:sz w:val="21"/>
                <w:szCs w:val="21"/>
                <w:color w:val="auto"/>
              </w:rPr>
            </w:pPr>
          </w:p>
        </w:tc>
        <w:tc>
          <w:tcPr>
            <w:tcW w:w="460" w:type="dxa"/>
            <w:vAlign w:val="bottom"/>
            <w:shd w:val="clear" w:color="auto" w:fill="F2DCDB"/>
          </w:tcPr>
          <w:p>
            <w:pPr>
              <w:spacing w:after="0"/>
              <w:rPr>
                <w:sz w:val="21"/>
                <w:szCs w:val="21"/>
                <w:color w:val="auto"/>
              </w:rPr>
            </w:pPr>
          </w:p>
        </w:tc>
        <w:tc>
          <w:tcPr>
            <w:tcW w:w="1520" w:type="dxa"/>
            <w:vAlign w:val="bottom"/>
            <w:shd w:val="clear" w:color="auto" w:fill="F2DCDB"/>
          </w:tcPr>
          <w:p>
            <w:pPr>
              <w:spacing w:after="0"/>
              <w:rPr>
                <w:sz w:val="21"/>
                <w:szCs w:val="21"/>
                <w:color w:val="auto"/>
              </w:rPr>
            </w:pPr>
          </w:p>
        </w:tc>
        <w:tc>
          <w:tcPr>
            <w:tcW w:w="1180" w:type="dxa"/>
            <w:vAlign w:val="bottom"/>
            <w:shd w:val="clear" w:color="auto" w:fill="F2DCDB"/>
          </w:tcPr>
          <w:p>
            <w:pPr>
              <w:spacing w:after="0"/>
              <w:rPr>
                <w:sz w:val="21"/>
                <w:szCs w:val="21"/>
                <w:color w:val="auto"/>
              </w:rPr>
            </w:pPr>
          </w:p>
        </w:tc>
      </w:tr>
      <w:tr>
        <w:trPr>
          <w:trHeight w:val="278"/>
        </w:trPr>
        <w:tc>
          <w:tcPr>
            <w:tcW w:w="624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59,237</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72,831</w:t>
            </w:r>
          </w:p>
        </w:tc>
        <w:tc>
          <w:tcPr>
            <w:tcW w:w="1180" w:type="dxa"/>
            <w:vAlign w:val="bottom"/>
          </w:tcPr>
          <w:p>
            <w:pPr>
              <w:jc w:val="center"/>
              <w:spacing w:after="0"/>
              <w:rPr>
                <w:sz w:val="20"/>
                <w:szCs w:val="20"/>
                <w:color w:val="auto"/>
              </w:rPr>
            </w:pPr>
            <w:r>
              <w:rPr>
                <w:rFonts w:ascii="Arial" w:cs="Arial" w:eastAsia="Arial" w:hAnsi="Arial"/>
                <w:sz w:val="15"/>
                <w:szCs w:val="15"/>
                <w:color w:val="auto"/>
              </w:rPr>
              <w:t>(18.7)</w:t>
            </w:r>
          </w:p>
        </w:tc>
      </w:tr>
      <w:tr>
        <w:trPr>
          <w:trHeight w:val="228"/>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Operating (Loss) Income</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64"/>
              <w:spacing w:after="0"/>
              <w:rPr>
                <w:sz w:val="20"/>
                <w:szCs w:val="20"/>
                <w:color w:val="auto"/>
              </w:rPr>
            </w:pPr>
            <w:r>
              <w:rPr>
                <w:rFonts w:ascii="Arial" w:cs="Arial" w:eastAsia="Arial" w:hAnsi="Arial"/>
                <w:sz w:val="15"/>
                <w:szCs w:val="15"/>
                <w:color w:val="auto"/>
              </w:rPr>
              <w:t>(16,457)</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04"/>
              <w:spacing w:after="0"/>
              <w:rPr>
                <w:sz w:val="20"/>
                <w:szCs w:val="20"/>
                <w:color w:val="auto"/>
              </w:rPr>
            </w:pPr>
            <w:r>
              <w:rPr>
                <w:rFonts w:ascii="Arial" w:cs="Arial" w:eastAsia="Arial" w:hAnsi="Arial"/>
                <w:sz w:val="15"/>
                <w:szCs w:val="15"/>
                <w:color w:val="auto"/>
              </w:rPr>
              <w:t>(5,717)</w:t>
            </w:r>
          </w:p>
        </w:tc>
        <w:tc>
          <w:tcPr>
            <w:tcW w:w="1180" w:type="dxa"/>
            <w:vAlign w:val="bottom"/>
          </w:tcPr>
          <w:p>
            <w:pPr>
              <w:jc w:val="center"/>
              <w:ind w:right="4"/>
              <w:spacing w:after="0"/>
              <w:rPr>
                <w:sz w:val="20"/>
                <w:szCs w:val="20"/>
                <w:color w:val="auto"/>
              </w:rPr>
            </w:pPr>
            <w:r>
              <w:rPr>
                <w:rFonts w:ascii="Arial" w:cs="Arial" w:eastAsia="Arial" w:hAnsi="Arial"/>
                <w:sz w:val="15"/>
                <w:szCs w:val="15"/>
                <w:color w:val="auto"/>
              </w:rPr>
              <w:t>187.9</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Adjusted Operating (Loss) Income*</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64"/>
              <w:spacing w:after="0"/>
              <w:rPr>
                <w:sz w:val="20"/>
                <w:szCs w:val="20"/>
                <w:color w:val="auto"/>
              </w:rPr>
            </w:pPr>
            <w:r>
              <w:rPr>
                <w:rFonts w:ascii="Arial" w:cs="Arial" w:eastAsia="Arial" w:hAnsi="Arial"/>
                <w:sz w:val="15"/>
                <w:szCs w:val="15"/>
                <w:color w:val="auto"/>
              </w:rPr>
              <w:t>(16,457)</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304"/>
              <w:spacing w:after="0"/>
              <w:rPr>
                <w:sz w:val="20"/>
                <w:szCs w:val="20"/>
                <w:color w:val="auto"/>
              </w:rPr>
            </w:pPr>
            <w:r>
              <w:rPr>
                <w:rFonts w:ascii="Arial" w:cs="Arial" w:eastAsia="Arial" w:hAnsi="Arial"/>
                <w:sz w:val="15"/>
                <w:szCs w:val="15"/>
                <w:color w:val="auto"/>
              </w:rPr>
              <w:t>(5,717)</w:t>
            </w:r>
          </w:p>
        </w:tc>
        <w:tc>
          <w:tcPr>
            <w:tcW w:w="1180" w:type="dxa"/>
            <w:vAlign w:val="bottom"/>
          </w:tcPr>
          <w:p>
            <w:pPr>
              <w:jc w:val="center"/>
              <w:ind w:right="4"/>
              <w:spacing w:after="0"/>
              <w:rPr>
                <w:sz w:val="20"/>
                <w:szCs w:val="20"/>
                <w:color w:val="auto"/>
              </w:rPr>
            </w:pPr>
            <w:r>
              <w:rPr>
                <w:rFonts w:ascii="Arial" w:cs="Arial" w:eastAsia="Arial" w:hAnsi="Arial"/>
                <w:sz w:val="15"/>
                <w:szCs w:val="15"/>
                <w:color w:val="auto"/>
              </w:rPr>
              <w:t>187.9</w:t>
            </w:r>
          </w:p>
        </w:tc>
      </w:tr>
      <w:tr>
        <w:trPr>
          <w:trHeight w:val="216"/>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Central Reservation System Transactions</w:t>
            </w:r>
          </w:p>
        </w:tc>
        <w:tc>
          <w:tcPr>
            <w:tcW w:w="420" w:type="dxa"/>
            <w:vAlign w:val="bottom"/>
          </w:tcPr>
          <w:p>
            <w:pPr>
              <w:spacing w:after="0"/>
              <w:rPr>
                <w:sz w:val="18"/>
                <w:szCs w:val="18"/>
                <w:color w:val="auto"/>
              </w:rPr>
            </w:pPr>
          </w:p>
        </w:tc>
        <w:tc>
          <w:tcPr>
            <w:tcW w:w="1420" w:type="dxa"/>
            <w:vAlign w:val="bottom"/>
          </w:tcPr>
          <w:p>
            <w:pPr>
              <w:jc w:val="right"/>
              <w:ind w:right="204"/>
              <w:spacing w:after="0"/>
              <w:rPr>
                <w:sz w:val="20"/>
                <w:szCs w:val="20"/>
                <w:color w:val="auto"/>
              </w:rPr>
            </w:pPr>
            <w:r>
              <w:rPr>
                <w:rFonts w:ascii="Arial" w:cs="Arial" w:eastAsia="Arial" w:hAnsi="Arial"/>
                <w:sz w:val="15"/>
                <w:szCs w:val="15"/>
                <w:color w:val="auto"/>
              </w:rPr>
              <w:t>21,019</w:t>
            </w:r>
          </w:p>
        </w:tc>
        <w:tc>
          <w:tcPr>
            <w:tcW w:w="460" w:type="dxa"/>
            <w:vAlign w:val="bottom"/>
          </w:tcPr>
          <w:p>
            <w:pPr>
              <w:spacing w:after="0"/>
              <w:rPr>
                <w:sz w:val="18"/>
                <w:szCs w:val="18"/>
                <w:color w:val="auto"/>
              </w:rPr>
            </w:pPr>
          </w:p>
        </w:tc>
        <w:tc>
          <w:tcPr>
            <w:tcW w:w="1520" w:type="dxa"/>
            <w:vAlign w:val="bottom"/>
          </w:tcPr>
          <w:p>
            <w:pPr>
              <w:jc w:val="right"/>
              <w:ind w:right="344"/>
              <w:spacing w:after="0"/>
              <w:rPr>
                <w:sz w:val="20"/>
                <w:szCs w:val="20"/>
                <w:color w:val="auto"/>
              </w:rPr>
            </w:pPr>
            <w:r>
              <w:rPr>
                <w:rFonts w:ascii="Arial" w:cs="Arial" w:eastAsia="Arial" w:hAnsi="Arial"/>
                <w:sz w:val="15"/>
                <w:szCs w:val="15"/>
                <w:color w:val="auto"/>
              </w:rPr>
              <w:t>23,024</w:t>
            </w:r>
          </w:p>
        </w:tc>
        <w:tc>
          <w:tcPr>
            <w:tcW w:w="1180" w:type="dxa"/>
            <w:vAlign w:val="bottom"/>
          </w:tcPr>
          <w:p>
            <w:pPr>
              <w:jc w:val="center"/>
              <w:ind w:right="4"/>
              <w:spacing w:after="0"/>
              <w:rPr>
                <w:sz w:val="20"/>
                <w:szCs w:val="20"/>
                <w:color w:val="auto"/>
              </w:rPr>
            </w:pPr>
            <w:r>
              <w:rPr>
                <w:rFonts w:ascii="Arial" w:cs="Arial" w:eastAsia="Arial" w:hAnsi="Arial"/>
                <w:sz w:val="15"/>
                <w:szCs w:val="15"/>
                <w:color w:val="auto"/>
                <w:w w:val="97"/>
              </w:rPr>
              <w:t>(8.7)</w:t>
            </w: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*Indicates non-GAAP financial measure; see descriptions and reconciliations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Travel Network</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First quarter 2020 highlights (versus prior year):</w:t>
      </w:r>
    </w:p>
    <w:p>
      <w:pPr>
        <w:spacing w:after="0" w:line="67"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Travel Network revenue decreased 45% to $428 million.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Global air bookings share increased 100 basis points to 39.3%.</w:t>
      </w:r>
    </w:p>
    <w:p>
      <w:pPr>
        <w:spacing w:after="0" w:line="67" w:lineRule="exact"/>
        <w:rPr>
          <w:rFonts w:ascii="Arial" w:cs="Arial" w:eastAsia="Arial" w:hAnsi="Arial"/>
          <w:sz w:val="20"/>
          <w:szCs w:val="20"/>
          <w:color w:val="auto"/>
        </w:rPr>
      </w:pPr>
    </w:p>
    <w:p>
      <w:pPr>
        <w:ind w:left="660" w:right="20" w:hanging="328"/>
        <w:spacing w:after="0" w:line="309"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Global bookings, net of cancellations, declined 45% in the quarter. The GDS industry experienced significant reductions in bookings during the quarter due to the impact of COVID-19.</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North America bookings declined 39%</w:t>
      </w:r>
    </w:p>
    <w:p>
      <w:pPr>
        <w:spacing w:after="0" w:line="67" w:lineRule="exact"/>
        <w:rPr>
          <w:rFonts w:ascii="Arial" w:cs="Arial" w:eastAsia="Arial" w:hAnsi="Arial"/>
          <w:sz w:val="20"/>
          <w:szCs w:val="20"/>
          <w:color w:val="auto"/>
        </w:rPr>
      </w:pPr>
    </w:p>
    <w:p>
      <w:pPr>
        <w:ind w:left="1300" w:hanging="320"/>
        <w:spacing w:after="0"/>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EMEA bookings declined 42%</w:t>
      </w:r>
    </w:p>
    <w:p>
      <w:pPr>
        <w:spacing w:after="0" w:line="67" w:lineRule="exact"/>
        <w:rPr>
          <w:rFonts w:ascii="Arial" w:cs="Arial" w:eastAsia="Arial" w:hAnsi="Arial"/>
          <w:sz w:val="20"/>
          <w:szCs w:val="20"/>
          <w:color w:val="auto"/>
        </w:rPr>
      </w:pPr>
    </w:p>
    <w:p>
      <w:pPr>
        <w:ind w:left="1300" w:hanging="320"/>
        <w:spacing w:after="0"/>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Latin America bookings declined 39%</w:t>
      </w:r>
    </w:p>
    <w:p>
      <w:pPr>
        <w:spacing w:after="0" w:line="67" w:lineRule="exact"/>
        <w:rPr>
          <w:rFonts w:ascii="Arial" w:cs="Arial" w:eastAsia="Arial" w:hAnsi="Arial"/>
          <w:sz w:val="20"/>
          <w:szCs w:val="20"/>
          <w:color w:val="auto"/>
        </w:rPr>
      </w:pPr>
    </w:p>
    <w:p>
      <w:pPr>
        <w:ind w:left="1300" w:hanging="320"/>
        <w:spacing w:after="0"/>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Asia Pacific bookings declined 63%</w:t>
      </w:r>
    </w:p>
    <w:p>
      <w:pPr>
        <w:spacing w:after="0" w:line="67" w:lineRule="exact"/>
        <w:rPr>
          <w:rFonts w:ascii="Arial" w:cs="Arial" w:eastAsia="Arial" w:hAnsi="Arial"/>
          <w:sz w:val="20"/>
          <w:szCs w:val="20"/>
          <w:color w:val="auto"/>
        </w:rPr>
      </w:pPr>
    </w:p>
    <w:p>
      <w:pPr>
        <w:ind w:left="660" w:hanging="328"/>
        <w:spacing w:after="0" w:line="309"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Gross bookings declined 8% in January, 17% in February and 70% in March on a global basis. Significant cancellations created a substantial additional negative impact, particularly in March.</w:t>
      </w:r>
    </w:p>
    <w:p>
      <w:pPr>
        <w:spacing w:after="0" w:line="1" w:lineRule="exact"/>
        <w:rPr>
          <w:rFonts w:ascii="Arial" w:cs="Arial" w:eastAsia="Arial" w:hAnsi="Arial"/>
          <w:sz w:val="20"/>
          <w:szCs w:val="20"/>
          <w:color w:val="auto"/>
        </w:rPr>
      </w:pPr>
    </w:p>
    <w:p>
      <w:pPr>
        <w:ind w:left="660" w:hanging="328"/>
        <w:spacing w:after="0" w:line="309"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Operating income totaled $23 million, versus $193 million in the first quarter of 2019, and operating income margin was 5%.</w:t>
      </w:r>
    </w:p>
    <w:p>
      <w:pPr>
        <w:spacing w:after="0" w:line="1" w:lineRule="exact"/>
        <w:rPr>
          <w:rFonts w:ascii="Arial" w:cs="Arial" w:eastAsia="Arial" w:hAnsi="Arial"/>
          <w:sz w:val="20"/>
          <w:szCs w:val="20"/>
          <w:color w:val="auto"/>
        </w:rPr>
      </w:pPr>
    </w:p>
    <w:p>
      <w:pPr>
        <w:jc w:val="both"/>
        <w:ind w:left="660" w:hanging="328"/>
        <w:spacing w:after="0" w:line="313"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decline in operating income was driven by the significant reduction in revenue due to COVID-19, partially offset by a decline in incentive expense and headcount-related expenses resulting from cost saving actions implemented in response to COVID-19.</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Airline Solutions</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First quarter 2020 highlights (versus prior year):</w:t>
      </w:r>
    </w:p>
    <w:p>
      <w:pPr>
        <w:spacing w:after="0" w:line="67" w:lineRule="exact"/>
        <w:rPr>
          <w:sz w:val="20"/>
          <w:szCs w:val="20"/>
          <w:color w:val="auto"/>
        </w:rPr>
      </w:pPr>
    </w:p>
    <w:p>
      <w:pPr>
        <w:jc w:val="both"/>
        <w:ind w:left="660" w:hanging="328"/>
        <w:spacing w:after="0" w:line="326" w:lineRule="auto"/>
        <w:tabs>
          <w:tab w:leader="none" w:pos="648" w:val="left"/>
        </w:tabs>
        <w:numPr>
          <w:ilvl w:val="0"/>
          <w:numId w:val="8"/>
        </w:numPr>
        <w:rPr>
          <w:rFonts w:ascii="Arial" w:cs="Arial" w:eastAsia="Arial" w:hAnsi="Arial"/>
          <w:sz w:val="19"/>
          <w:szCs w:val="19"/>
          <w:color w:val="auto"/>
        </w:rPr>
      </w:pPr>
      <w:r>
        <w:rPr>
          <w:rFonts w:ascii="Arial" w:cs="Arial" w:eastAsia="Arial" w:hAnsi="Arial"/>
          <w:sz w:val="19"/>
          <w:szCs w:val="19"/>
          <w:color w:val="auto"/>
        </w:rPr>
        <w:t>Airline Solutions revenue decreased 16% to $180 million. Reservations revenue decreased 17%, and commercial and operations revenue decreased 13%. The decline in revenue was driven by the demigration of Philippine Airlines and Bangkok Airlines, the insolvency of Jet Airways in April 2019, a decline in upfront license fee revenue from new implementations and the impact of COVID-19 on the existing customer base, partially offset by the acquisition of Radixx.</w:t>
      </w: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Airline passengers boarded declined 10% in the quarter. Excluding Radixx, passengers boarded declined 15%.</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Operating loss totaled $33 million, versus operating income of $15 million in the first quarter of 2019.</w:t>
      </w:r>
    </w:p>
    <w:p>
      <w:pPr>
        <w:spacing w:after="0" w:line="67" w:lineRule="exact"/>
        <w:rPr>
          <w:rFonts w:ascii="Arial" w:cs="Arial" w:eastAsia="Arial" w:hAnsi="Arial"/>
          <w:sz w:val="20"/>
          <w:szCs w:val="20"/>
          <w:color w:val="auto"/>
        </w:rPr>
      </w:pPr>
    </w:p>
    <w:p>
      <w:pPr>
        <w:jc w:val="both"/>
        <w:ind w:left="660" w:hanging="328"/>
        <w:spacing w:after="0" w:line="313"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change in operating income was driven by the reduction in revenue due to COVID-19 and an increase in bad debt expense, partially offset by a decline in headcount-related expenses resulting from cost saving actions implemented in response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Hospitality Solutions</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First quarter 2020 highlights (versus prior year):</w:t>
      </w:r>
    </w:p>
    <w:p>
      <w:pPr>
        <w:spacing w:after="0" w:line="67"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Hospitality Solutions revenue decreased 19% to $59 million.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Central reservation system transactions declined 9% to 21 million.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Operating loss was $16 million, versus operating loss of $6 million in the first quarter of 2019.</w:t>
      </w:r>
    </w:p>
    <w:p>
      <w:pPr>
        <w:spacing w:after="0" w:line="67" w:lineRule="exact"/>
        <w:rPr>
          <w:rFonts w:ascii="Arial" w:cs="Arial" w:eastAsia="Arial" w:hAnsi="Arial"/>
          <w:sz w:val="20"/>
          <w:szCs w:val="20"/>
          <w:color w:val="auto"/>
        </w:rPr>
      </w:pPr>
    </w:p>
    <w:p>
      <w:pPr>
        <w:jc w:val="both"/>
        <w:ind w:left="660" w:hanging="328"/>
        <w:spacing w:after="0" w:line="312"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increase in operating loss was due to the reduction is CRS transactions driven by COVID-19 as well as a decrease in the CRS transaction rate due to the migration of certain enterprise hotel brands, partially offset by a reduction in transaction-based costs and headcount-related expenses resulting from cost saving actions implemented in response to COVID-19.</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Outlook and Financial Guidance</w:t>
      </w:r>
    </w:p>
    <w:p>
      <w:pPr>
        <w:spacing w:after="0" w:line="334"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"Our thoughts are with those around the world who have been impacted by the COVID-19 pandemic," said Doug Barnett, CFO. "We are in a time of unprecedented disruption to the travel industry. The latest IATA projection is for a 55% reduction in passenger revenue in 2020, putting 25 million jobs around the world at risk.</w:t>
      </w:r>
    </w:p>
    <w:p>
      <w:pPr>
        <w:spacing w:after="0" w:line="234"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"Approximately 15% of our revenue is not tied to travel volumes, which partially mitigates the exposure we have to COVID-19's impact on travel. However, new bookings made in March declined 70% year-over-year, and net bookings were negative due to a significant amount of cancellations. This trend continued in April, with the drop-off of new bookings exacerbated by cancellations. As of quarter end, we have recognized $105 million in revenue from bookings that have not yet departed and have a cancellation reserve of $44 million on our balance sheet.</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"Approximately two-thirds of our cost structure is variable or adjustable, which provides protection in a downside scenario. These costs include Travel Network incentives, which are variable and tied to bookings volume, semi-variable technology hosting costs, and labor and headcount-related costs. In response to COVID-19's impact on our business, we announced a $200 million cost savings initiative in March. We increased the scope of our initiatives and are now targeting total cost savings of approximately $325 million in 2020. Only one-third of our cost structure, or approximately $1 billion based on 2019 results, is fixed in nature. Our high proportion of variable costs affords us the ability to take further cost reduction actions, if needed.</w:t>
      </w:r>
    </w:p>
    <w:p>
      <w:pPr>
        <w:spacing w:after="0" w:line="237"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"Sabre has significant liquidity to withstand a prolonged travel downturn and has no expected significant near-term liquidity needs. We have suspended our dividend, effective after the March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33"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30, 2020 payment, and share repurchases. Effective May 1, 2020, Sabre and Farelogix agreed to terminate the Farelogix acquisition, and we have paid Farelogix aggregate termination fees of $21 million in the second quarter of 2020 pursuant to the acquisition agreement. Although we were in compliance with our leverage ratio requirement as of March 31, 2020, we believe that a Material Travel Event Disruption has occurred and therefore expect our leverage ratio covenant under our Amended and Restated Credit Agreement will be suspended. We drew down on our revolver in the amount of $375 million in March and raised $1.1 billion from the issuance of senior secured notes and exchangeable notes in April to further strengthen our liquidity.</w:t>
      </w:r>
    </w:p>
    <w:p>
      <w:pPr>
        <w:spacing w:after="0" w:line="237"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"Our March 31, 2020 ending cash balance totaled $684 million. Pro forma for our recent notes offerings, as well as refunds owed to airlines for first quarter cancellations, incentive payments delayed from the first quarter, cancellation reserve and termination fees paid to Farelogix in the second quarter, our cash balance is $1.7 billion. Based on our estimated cash burn rate of approximately $80 million per month, we believe we have more than a year and a half of liquidity even in a zero bookings environment. At this time, we do not expect to participate in the CARES Act loan program for the aviation industry."</w:t>
      </w:r>
    </w:p>
    <w:p>
      <w:pPr>
        <w:spacing w:after="0" w:line="238"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Given the magnitude and the uncertainty related to the COVID-19 pandemic and its economic effects, on March 20, 2020, Sabre withdrew its February 26, 2020 guidance and has not given further guidance at this time.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334"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Sabre will conduct its first quarter 2020 investor conference call today at 9:00 a.m. ET. The live webcast and accompanying slide presentation can be accessed via the Investor Relations section of our website, investors.sabre.com. A replay of the event will be available on the website for at least 90 days following the event.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Sabre</w:t>
      </w:r>
    </w:p>
    <w:p>
      <w:pPr>
        <w:spacing w:after="0" w:line="334" w:lineRule="exact"/>
        <w:rPr>
          <w:sz w:val="20"/>
          <w:szCs w:val="20"/>
          <w:color w:val="auto"/>
        </w:rPr>
      </w:pPr>
    </w:p>
    <w:p>
      <w:pPr>
        <w:spacing w:after="0" w:line="330" w:lineRule="auto"/>
        <w:rPr>
          <w:sz w:val="20"/>
          <w:szCs w:val="20"/>
          <w:color w:val="auto"/>
        </w:rPr>
      </w:pPr>
      <w:r>
        <w:rPr>
          <w:rFonts w:ascii="Arial" w:cs="Arial" w:eastAsia="Arial" w:hAnsi="Arial"/>
          <w:sz w:val="19"/>
          <w:szCs w:val="19"/>
          <w:color w:val="auto"/>
        </w:rPr>
        <w:t>Sabre Corporation is the leading software and technology company that powers the global travel industry, serving a wide range of travel companies including airlines, hoteliers, travel agencies and other suppliers. The company provides retailing, distribution and fulfillment solutions that help its customers operate more efficiently, drive revenue and offer personalized traveler experiences. Through its leading travel marketplace, Sabre connects travel suppliers with buyers from around the globe. Sabre’s technology platform manages more than $260B worth of global travel spend annually. Headquartered in Southlake, Texas, USA, Sabre serves customers in more than 160 countries around the world. For more information visit www.sabre.com.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Website Information</w:t>
      </w:r>
    </w:p>
    <w:p>
      <w:pPr>
        <w:spacing w:after="0" w:line="334"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We routinely post important information for investors on the Investor Relations section of our website, investors.sabre.com</w:t>
      </w:r>
      <w:r>
        <w:rPr>
          <w:rFonts w:ascii="Arial" w:cs="Arial" w:eastAsia="Arial" w:hAnsi="Arial"/>
          <w:sz w:val="19"/>
          <w:szCs w:val="19"/>
          <w:u w:val="single" w:color="auto"/>
          <w:color w:val="1D12FF"/>
        </w:rPr>
        <w:t>.</w:t>
      </w:r>
      <w:r>
        <w:rPr>
          <w:rFonts w:ascii="Arial" w:cs="Arial" w:eastAsia="Arial" w:hAnsi="Arial"/>
          <w:sz w:val="19"/>
          <w:szCs w:val="19"/>
          <w:color w:val="auto"/>
        </w:rPr>
        <w:t xml:space="preserve"> We intend to use this website as a means of disclosing material, non-public information and for complying with our disclosure obligations under Regulation FD. Accordingly, investors should monitor the Investor Relations section of our website, in addition to following our press releases, SEC filings, public conference calls, presentations and webcasts. The information contained on, or that may be accessed through, our website is not incorporated by reference into, and is not a part of, this document.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Financial Information</w:t>
      </w:r>
    </w:p>
    <w:p>
      <w:pPr>
        <w:spacing w:after="0" w:line="334"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In conjunction with today’s earnings report, a file of supplemental financial information will be available on the Investor Relations section of our website, investors.sabre.com.</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Data</w:t>
      </w:r>
    </w:p>
    <w:p>
      <w:pPr>
        <w:spacing w:after="0" w:line="334"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This release contains industry data, forecasts and other information that we obtained from industry publications and surveys, public filings and internal company sources, and there can be no assurance as to the accuracy or completeness of the included information. Statements as to our ranking, market position, bookings share and market estimates are based on independent industry publications, government publications, third-party forecasts and management’s estimates and assumptions about our markets and our internal research. We have not independently verified this third-party information nor have we ascertained the underlying economic assumptions relied upon in those sources, and we cannot assure you of the accuracy or completeness of this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on Non-GAAP Financial Measures</w:t>
      </w:r>
    </w:p>
    <w:p>
      <w:pPr>
        <w:spacing w:after="0" w:line="334"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This press release includes unaudited non-GAAP financial measures, including Adjusted Gross Profit, Adjusted Operating (Loss) Income, Adjusted Net (Loss) Income from continuing operations ("Adjusted Net (Loss) Income"), Adjusted EBITDA, Adjusted Net (Loss) Income from continuing operations per share ("Adjusted EPS"), Free Cash Flow, and the ratios based on these financial measures.</w:t>
      </w:r>
    </w:p>
    <w:p>
      <w:pPr>
        <w:spacing w:after="0" w:line="235"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We present non-GAAP measures when our management believes that the additional information provides useful information about our operating performance. Non-GAAP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33"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measures do not have any standardized meaning and are therefore unlikely to be comparable to similar measures presented by other companies. The presentation of non-GAAP financial measures is not intended to be a substitute for, and should not be considered in isolation from, the financial measures reported in accordance with GAAP. See “Non-GAAP Financial Measures” below for an explanation of the non-GAAP measures and “Tabular Reconciliations for Non-GAAP Measures” below for a reconciliation of the non-GAAP financial measures to the comparable GAAP measures.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34" w:lineRule="exact"/>
        <w:rPr>
          <w:sz w:val="20"/>
          <w:szCs w:val="20"/>
          <w:color w:val="auto"/>
        </w:rPr>
      </w:pPr>
    </w:p>
    <w:p>
      <w:pPr>
        <w:jc w:val="both"/>
        <w:spacing w:after="0" w:line="310" w:lineRule="auto"/>
        <w:rPr>
          <w:sz w:val="20"/>
          <w:szCs w:val="20"/>
          <w:color w:val="auto"/>
        </w:rPr>
      </w:pPr>
      <w:r>
        <w:rPr>
          <w:rFonts w:ascii="Arial" w:cs="Arial" w:eastAsia="Arial" w:hAnsi="Arial"/>
          <w:sz w:val="20"/>
          <w:szCs w:val="20"/>
          <w:color w:val="auto"/>
        </w:rPr>
        <w:t>Certain statements herein are forward-looking statements about trends, future events, uncertainties and our plans and expectations of what may happen in the future. Any statements that are not historical or current facts are forward-looking statements. In many cases, you can identify forward-looking statements by terms such as "estimate," "pro forma," "confident," "project," "trend," "expect," "anticipate," "believe," "guidance," "outlook," "will," "continue," "commit," "estimate," "may,” “should,” “would,” “intend," “potential,” "long-term," "growth," "results" or the negative of these terms or other comparable terminology. Forward-looking statements involve known and unknown risks, uncertainties and other factors that may cause Sabre’s actual results, performance or achievements to be materially different from any future results, performances or achievements expressed or implied by the forward-looking statements. The potential risks and uncertainties include, among others, the severity, extent and duration of the global COVID-19 pandemic and its impact on our business and results of operations, financial condition and credit ratings, as well as on the travel industry and consumer spending more broadly, the actions taken to contain the disease or treat its impact, the effect of remote working arrangements on our operations and the speed and extent of the recovery across the broader travel ecosystem, dependency on transaction volumes in the global travel industry, particularly air travel transaction volumes, including from airlines' insolvency, suspension of service or aircraft groundings, the timing, implementation and effects of the technology investment and other strategic initiatives, the completion and effects of travel platforms, travel suppliers' usage of alternative distribution models, exposure to pricing pressure in the Travel Network business, changes affecting travel supplier customers, maintenance of the integrity of our systems and infrastructure and the effect of any security breaches, failure to adapt to technological advancements, competition in the travel distribution market and solutions markets, implementation of software solutions, reliance on third parties to provide information technology services and the effects of these services, the finalization of an agreement to implement a full-service property management system, the execution, implementation and effects of new or renewed agreements, dependence on establishing, maintaining and renewing contracts with customers and other counterparties and collecting amounts due to us under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33" w:lineRule="exact"/>
        <w:rPr>
          <w:sz w:val="20"/>
          <w:szCs w:val="20"/>
          <w:color w:val="auto"/>
        </w:rPr>
      </w:pPr>
    </w:p>
    <w:p>
      <w:pPr>
        <w:jc w:val="both"/>
        <w:spacing w:after="0" w:line="310" w:lineRule="auto"/>
        <w:rPr>
          <w:sz w:val="20"/>
          <w:szCs w:val="20"/>
          <w:color w:val="auto"/>
        </w:rPr>
      </w:pPr>
      <w:r>
        <w:rPr>
          <w:rFonts w:ascii="Arial" w:cs="Arial" w:eastAsia="Arial" w:hAnsi="Arial"/>
          <w:sz w:val="20"/>
          <w:szCs w:val="20"/>
          <w:color w:val="auto"/>
        </w:rPr>
        <w:t>dependence on relationships with travel buyers, our collection, processing, storage, use and transmission of personal data and risks associated with PCI compliance, our ability to recruit, train and retain employees, including our key executive officers and technical employees, the financial and business results and effects of acquisitions, the effects of any litigation and regulatory reviews and investigations, including with respect to these acquisitions, adverse global and regional economic and political conditions, including, but not limited to, economic conditions in countries or regions with traditionally high levels of exports to China or that have commodities-based economies and the effect of "Brexit" and uncertainty due to related negotiations, risks arising from global operations, reliance on the value of our brands, failure to comply with regulations, use of third-party distributor partners, the effects of the implementation of new accounting standards, and tax-related matters, including the effect of the Tax Cuts and Jobs Act. More information about potential risks and uncertainties that could affect our business and results of operations is included in the "Risk Factors" and “Forward-Looking Statements” sections in our Annual Report on Form 10-K filed with the SEC on February 26, 2020, in our Form 8-K filed with the SEC on April 13, 2020 and in our other filings with the SEC. Although we believe that the expectations reflected in the forward-looking statements are reasonable, we cannot guarantee future events, outlook, guidance, results, actions, levels of activity, performance or achievements. Readers are cautioned not to place undue reliance on these forward-looking statements. Unless required by law, Sabre undertakes no obligation to publicly update or revise any forward-looking statements to reflect circumstances or events after the date they are made.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31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Media</w:t>
      </w:r>
    </w:p>
    <w:p>
      <w:pPr>
        <w:spacing w:after="0" w:line="7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Kristin Hays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color w:val="auto"/>
        </w:rPr>
        <w:t>kristin.hays@sabre.com</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color w:val="auto"/>
        </w:rPr>
        <w:t>sabrenews@sabre.com</w:t>
      </w:r>
    </w:p>
    <w:p>
      <w:pPr>
        <w:spacing w:after="0" w:line="30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Investors</w:t>
      </w:r>
    </w:p>
    <w:p>
      <w:pPr>
        <w:spacing w:after="0" w:line="7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Kevin Crissey</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color w:val="auto"/>
        </w:rPr>
        <w:t>Kevin.Crissey@sabre.com</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color w:val="auto"/>
        </w:rPr>
        <w:t>sabre.investorrelations@sabre.com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jc w:val="center"/>
        <w:ind w:right="120"/>
        <w:spacing w:after="0"/>
        <w:rPr>
          <w:sz w:val="20"/>
          <w:szCs w:val="20"/>
          <w:color w:val="auto"/>
        </w:rPr>
      </w:pPr>
      <w:r>
        <w:rPr>
          <w:rFonts w:ascii="Arial" w:cs="Arial" w:eastAsia="Arial" w:hAnsi="Arial"/>
          <w:sz w:val="18"/>
          <w:szCs w:val="18"/>
          <w:b w:val="1"/>
          <w:bCs w:val="1"/>
          <w:color w:val="auto"/>
        </w:rPr>
        <w:t>SABRE CORPORATION</w:t>
      </w:r>
    </w:p>
    <w:p>
      <w:pPr>
        <w:spacing w:after="0" w:line="3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6"/>
                <w:szCs w:val="16"/>
                <w:color w:val="auto"/>
              </w:rPr>
              <w:t>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658,977</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1,049,361</w:t>
            </w:r>
          </w:p>
        </w:tc>
        <w:tc>
          <w:tcPr>
            <w:tcW w:w="0" w:type="dxa"/>
            <w:vAlign w:val="bottom"/>
          </w:tcPr>
          <w:p>
            <w:pPr>
              <w:spacing w:after="0"/>
              <w:rPr>
                <w:sz w:val="1"/>
                <w:szCs w:val="1"/>
                <w:color w:val="auto"/>
              </w:rPr>
            </w:pPr>
          </w:p>
        </w:tc>
      </w:tr>
      <w:tr>
        <w:trPr>
          <w:trHeight w:val="243"/>
        </w:trPr>
        <w:tc>
          <w:tcPr>
            <w:tcW w:w="8280" w:type="dxa"/>
            <w:vAlign w:val="bottom"/>
          </w:tcPr>
          <w:p>
            <w:pPr>
              <w:spacing w:after="0"/>
              <w:rPr>
                <w:sz w:val="20"/>
                <w:szCs w:val="20"/>
                <w:color w:val="auto"/>
              </w:rPr>
            </w:pPr>
            <w:r>
              <w:rPr>
                <w:rFonts w:ascii="Arial" w:cs="Arial" w:eastAsia="Arial" w:hAnsi="Arial"/>
                <w:sz w:val="16"/>
                <w:szCs w:val="16"/>
                <w:color w:val="auto"/>
              </w:rPr>
              <w:t>Cost of revenue</w:t>
            </w:r>
          </w:p>
        </w:tc>
        <w:tc>
          <w:tcPr>
            <w:tcW w:w="200" w:type="dxa"/>
            <w:vAlign w:val="bottom"/>
          </w:tcPr>
          <w:p>
            <w:pPr>
              <w:spacing w:after="0"/>
              <w:rPr>
                <w:sz w:val="21"/>
                <w:szCs w:val="21"/>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611,515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787,563</w:t>
            </w:r>
          </w:p>
        </w:tc>
        <w:tc>
          <w:tcPr>
            <w:tcW w:w="0" w:type="dxa"/>
            <w:vAlign w:val="bottom"/>
          </w:tcPr>
          <w:p>
            <w:pPr>
              <w:spacing w:after="0"/>
              <w:rPr>
                <w:sz w:val="1"/>
                <w:szCs w:val="1"/>
                <w:color w:val="auto"/>
              </w:rPr>
            </w:pPr>
          </w:p>
        </w:tc>
      </w:tr>
      <w:tr>
        <w:trPr>
          <w:trHeight w:val="256"/>
        </w:trPr>
        <w:tc>
          <w:tcPr>
            <w:tcW w:w="828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198,873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151,391</w:t>
            </w:r>
          </w:p>
        </w:tc>
        <w:tc>
          <w:tcPr>
            <w:tcW w:w="0" w:type="dxa"/>
            <w:vAlign w:val="bottom"/>
          </w:tcPr>
          <w:p>
            <w:pPr>
              <w:spacing w:after="0"/>
              <w:rPr>
                <w:sz w:val="1"/>
                <w:szCs w:val="1"/>
                <w:color w:val="auto"/>
              </w:rPr>
            </w:pPr>
          </w:p>
        </w:tc>
      </w:tr>
      <w:tr>
        <w:trPr>
          <w:trHeight w:val="224"/>
        </w:trPr>
        <w:tc>
          <w:tcPr>
            <w:tcW w:w="8280" w:type="dxa"/>
            <w:vAlign w:val="bottom"/>
          </w:tcPr>
          <w:p>
            <w:pPr>
              <w:ind w:left="420"/>
              <w:spacing w:after="0"/>
              <w:rPr>
                <w:sz w:val="20"/>
                <w:szCs w:val="20"/>
                <w:color w:val="auto"/>
              </w:rPr>
            </w:pPr>
            <w:r>
              <w:rPr>
                <w:rFonts w:ascii="Arial" w:cs="Arial" w:eastAsia="Arial" w:hAnsi="Arial"/>
                <w:sz w:val="16"/>
                <w:szCs w:val="16"/>
                <w:color w:val="auto"/>
              </w:rPr>
              <w:t>Operating (loss) income</w:t>
            </w:r>
          </w:p>
        </w:tc>
        <w:tc>
          <w:tcPr>
            <w:tcW w:w="20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(151,411)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110,407</w:t>
            </w:r>
          </w:p>
        </w:tc>
        <w:tc>
          <w:tcPr>
            <w:tcW w:w="0" w:type="dxa"/>
            <w:vAlign w:val="bottom"/>
          </w:tcPr>
          <w:p>
            <w:pPr>
              <w:spacing w:after="0"/>
              <w:rPr>
                <w:sz w:val="1"/>
                <w:szCs w:val="1"/>
                <w:color w:val="auto"/>
              </w:rPr>
            </w:pPr>
          </w:p>
        </w:tc>
      </w:tr>
      <w:tr>
        <w:trPr>
          <w:trHeight w:val="243"/>
        </w:trPr>
        <w:tc>
          <w:tcPr>
            <w:tcW w:w="8280" w:type="dxa"/>
            <w:vAlign w:val="bottom"/>
          </w:tcPr>
          <w:p>
            <w:pPr>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(37,442)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(38,013)</w:t>
            </w:r>
          </w:p>
        </w:tc>
        <w:tc>
          <w:tcPr>
            <w:tcW w:w="0" w:type="dxa"/>
            <w:vAlign w:val="bottom"/>
          </w:tcPr>
          <w:p>
            <w:pPr>
              <w:spacing w:after="0"/>
              <w:rPr>
                <w:sz w:val="1"/>
                <w:szCs w:val="1"/>
                <w:color w:val="auto"/>
              </w:rPr>
            </w:pPr>
          </w:p>
        </w:tc>
      </w:tr>
      <w:tr>
        <w:trPr>
          <w:trHeight w:val="243"/>
        </w:trPr>
        <w:tc>
          <w:tcPr>
            <w:tcW w:w="8280" w:type="dxa"/>
            <w:vAlign w:val="bottom"/>
          </w:tcPr>
          <w:p>
            <w:pPr>
              <w:ind w:left="180"/>
              <w:spacing w:after="0"/>
              <w:rPr>
                <w:sz w:val="20"/>
                <w:szCs w:val="20"/>
                <w:color w:val="auto"/>
              </w:rPr>
            </w:pPr>
            <w:r>
              <w:rPr>
                <w:rFonts w:ascii="Arial" w:cs="Arial" w:eastAsia="Arial" w:hAnsi="Arial"/>
                <w:sz w:val="16"/>
                <w:szCs w:val="16"/>
                <w:color w:val="auto"/>
              </w:rPr>
              <w:t>Equity method (loss) income</w:t>
            </w:r>
          </w:p>
        </w:tc>
        <w:tc>
          <w:tcPr>
            <w:tcW w:w="20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56"/>
        </w:trPr>
        <w:tc>
          <w:tcPr>
            <w:tcW w:w="828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(47,486)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(1,870)</w:t>
            </w:r>
          </w:p>
        </w:tc>
        <w:tc>
          <w:tcPr>
            <w:tcW w:w="0" w:type="dxa"/>
            <w:vAlign w:val="bottom"/>
          </w:tcPr>
          <w:p>
            <w:pPr>
              <w:spacing w:after="0"/>
              <w:rPr>
                <w:sz w:val="1"/>
                <w:szCs w:val="1"/>
                <w:color w:val="auto"/>
              </w:rPr>
            </w:pPr>
          </w:p>
        </w:tc>
      </w:tr>
      <w:tr>
        <w:trPr>
          <w:trHeight w:val="237"/>
        </w:trPr>
        <w:tc>
          <w:tcPr>
            <w:tcW w:w="8280" w:type="dxa"/>
            <w:vAlign w:val="bottom"/>
          </w:tcPr>
          <w:p>
            <w:pPr>
              <w:spacing w:after="0"/>
              <w:rPr>
                <w:sz w:val="20"/>
                <w:szCs w:val="20"/>
                <w:color w:val="auto"/>
              </w:rPr>
            </w:pPr>
            <w:r>
              <w:rPr>
                <w:rFonts w:ascii="Arial" w:cs="Arial" w:eastAsia="Arial" w:hAnsi="Arial"/>
                <w:sz w:val="16"/>
                <w:szCs w:val="16"/>
                <w:color w:val="auto"/>
              </w:rPr>
              <w:t>Total other expense, net</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(85,614)</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(39,350)</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6"/>
                <w:szCs w:val="16"/>
                <w:color w:val="auto"/>
              </w:rPr>
              <w:t>(Loss) Income from continuing operations before income taxes</w:t>
            </w:r>
          </w:p>
        </w:tc>
        <w:tc>
          <w:tcPr>
            <w:tcW w:w="20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(237,025)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71,057</w:t>
            </w:r>
          </w:p>
        </w:tc>
        <w:tc>
          <w:tcPr>
            <w:tcW w:w="0" w:type="dxa"/>
            <w:vAlign w:val="bottom"/>
          </w:tcPr>
          <w:p>
            <w:pPr>
              <w:spacing w:after="0"/>
              <w:rPr>
                <w:sz w:val="1"/>
                <w:szCs w:val="1"/>
                <w:color w:val="auto"/>
              </w:rPr>
            </w:pPr>
          </w:p>
        </w:tc>
      </w:tr>
      <w:tr>
        <w:trPr>
          <w:trHeight w:val="256"/>
        </w:trPr>
        <w:tc>
          <w:tcPr>
            <w:tcW w:w="82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(27,254)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11,843</w:t>
            </w:r>
          </w:p>
        </w:tc>
        <w:tc>
          <w:tcPr>
            <w:tcW w:w="0" w:type="dxa"/>
            <w:vAlign w:val="bottom"/>
          </w:tcPr>
          <w:p>
            <w:pPr>
              <w:spacing w:after="0"/>
              <w:rPr>
                <w:sz w:val="1"/>
                <w:szCs w:val="1"/>
                <w:color w:val="auto"/>
              </w:rPr>
            </w:pPr>
          </w:p>
        </w:tc>
      </w:tr>
      <w:tr>
        <w:trPr>
          <w:trHeight w:val="224"/>
        </w:trPr>
        <w:tc>
          <w:tcPr>
            <w:tcW w:w="8280" w:type="dxa"/>
            <w:vAlign w:val="bottom"/>
          </w:tcPr>
          <w:p>
            <w:pPr>
              <w:spacing w:after="0"/>
              <w:rPr>
                <w:sz w:val="20"/>
                <w:szCs w:val="20"/>
                <w:color w:val="auto"/>
              </w:rPr>
            </w:pPr>
            <w:r>
              <w:rPr>
                <w:rFonts w:ascii="Arial" w:cs="Arial" w:eastAsia="Arial" w:hAnsi="Arial"/>
                <w:sz w:val="16"/>
                <w:szCs w:val="16"/>
                <w:color w:val="auto"/>
              </w:rPr>
              <w:t>(Loss) Income from continuing operations</w:t>
            </w:r>
          </w:p>
        </w:tc>
        <w:tc>
          <w:tcPr>
            <w:tcW w:w="20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(209,771)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59,214</w:t>
            </w:r>
          </w:p>
        </w:tc>
        <w:tc>
          <w:tcPr>
            <w:tcW w:w="0" w:type="dxa"/>
            <w:vAlign w:val="bottom"/>
          </w:tcPr>
          <w:p>
            <w:pPr>
              <w:spacing w:after="0"/>
              <w:rPr>
                <w:sz w:val="1"/>
                <w:szCs w:val="1"/>
                <w:color w:val="auto"/>
              </w:rPr>
            </w:pPr>
          </w:p>
        </w:tc>
      </w:tr>
      <w:tr>
        <w:trPr>
          <w:trHeight w:val="256"/>
        </w:trPr>
        <w:tc>
          <w:tcPr>
            <w:tcW w:w="8280" w:type="dxa"/>
            <w:vAlign w:val="bottom"/>
          </w:tcPr>
          <w:p>
            <w:pPr>
              <w:spacing w:after="0"/>
              <w:rPr>
                <w:sz w:val="20"/>
                <w:szCs w:val="20"/>
                <w:color w:val="auto"/>
              </w:rPr>
            </w:pPr>
            <w:r>
              <w:rPr>
                <w:rFonts w:ascii="Arial" w:cs="Arial" w:eastAsia="Arial" w:hAnsi="Arial"/>
                <w:sz w:val="16"/>
                <w:szCs w:val="16"/>
                <w:color w:val="auto"/>
              </w:rPr>
              <w:t>Loss from discontinued operations, net of tax</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(2,126)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(1,452)</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6"/>
                <w:szCs w:val="16"/>
                <w:color w:val="auto"/>
              </w:rPr>
              <w:t>Net (loss) income</w:t>
            </w:r>
          </w:p>
        </w:tc>
        <w:tc>
          <w:tcPr>
            <w:tcW w:w="20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(211,897)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57,762</w:t>
            </w:r>
          </w:p>
        </w:tc>
        <w:tc>
          <w:tcPr>
            <w:tcW w:w="0" w:type="dxa"/>
            <w:vAlign w:val="bottom"/>
          </w:tcPr>
          <w:p>
            <w:pPr>
              <w:spacing w:after="0"/>
              <w:rPr>
                <w:sz w:val="1"/>
                <w:szCs w:val="1"/>
                <w:color w:val="auto"/>
              </w:rPr>
            </w:pPr>
          </w:p>
        </w:tc>
      </w:tr>
      <w:tr>
        <w:trPr>
          <w:trHeight w:val="256"/>
        </w:trPr>
        <w:tc>
          <w:tcPr>
            <w:tcW w:w="8280" w:type="dxa"/>
            <w:vAlign w:val="bottom"/>
          </w:tcPr>
          <w:p>
            <w:pPr>
              <w:spacing w:after="0"/>
              <w:rPr>
                <w:sz w:val="20"/>
                <w:szCs w:val="20"/>
                <w:color w:val="auto"/>
              </w:rPr>
            </w:pPr>
            <w:r>
              <w:rPr>
                <w:rFonts w:ascii="Arial" w:cs="Arial" w:eastAsia="Arial" w:hAnsi="Arial"/>
                <w:sz w:val="16"/>
                <w:szCs w:val="16"/>
                <w:color w:val="auto"/>
              </w:rPr>
              <w:t>Net income attributable to noncontrolling interests</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43"/>
        </w:trPr>
        <w:tc>
          <w:tcPr>
            <w:tcW w:w="8280" w:type="dxa"/>
            <w:vAlign w:val="bottom"/>
          </w:tcPr>
          <w:p>
            <w:pPr>
              <w:spacing w:after="0"/>
              <w:rPr>
                <w:sz w:val="20"/>
                <w:szCs w:val="20"/>
                <w:color w:val="auto"/>
              </w:rPr>
            </w:pPr>
            <w:r>
              <w:rPr>
                <w:rFonts w:ascii="Arial" w:cs="Arial" w:eastAsia="Arial" w:hAnsi="Arial"/>
                <w:sz w:val="16"/>
                <w:szCs w:val="16"/>
                <w:color w:val="auto"/>
              </w:rPr>
              <w:t>Net (loss) income attributable to common stockholders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(212,680)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56,850</w:t>
            </w:r>
          </w:p>
        </w:tc>
        <w:tc>
          <w:tcPr>
            <w:tcW w:w="0" w:type="dxa"/>
            <w:vAlign w:val="bottom"/>
          </w:tcPr>
          <w:p>
            <w:pPr>
              <w:spacing w:after="0"/>
              <w:rPr>
                <w:sz w:val="1"/>
                <w:szCs w:val="1"/>
                <w:color w:val="auto"/>
              </w:rPr>
            </w:pPr>
          </w:p>
        </w:tc>
      </w:tr>
      <w:tr>
        <w:trPr>
          <w:trHeight w:val="21"/>
        </w:trPr>
        <w:tc>
          <w:tcPr>
            <w:tcW w:w="8280" w:type="dxa"/>
            <w:vAlign w:val="bottom"/>
            <w:vMerge w:val="restart"/>
          </w:tcPr>
          <w:p>
            <w:pPr>
              <w:spacing w:after="0"/>
              <w:rPr>
                <w:sz w:val="20"/>
                <w:szCs w:val="20"/>
                <w:color w:val="auto"/>
              </w:rPr>
            </w:pPr>
            <w:r>
              <w:rPr>
                <w:rFonts w:ascii="Arial" w:cs="Arial" w:eastAsia="Arial" w:hAnsi="Arial"/>
                <w:sz w:val="16"/>
                <w:szCs w:val="16"/>
                <w:color w:val="auto"/>
              </w:rPr>
              <w:t>Basic net (loss) income per share attributable to common stockholders:</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8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180"/>
              <w:spacing w:after="0"/>
              <w:rPr>
                <w:sz w:val="20"/>
                <w:szCs w:val="20"/>
                <w:color w:val="auto"/>
              </w:rPr>
            </w:pPr>
            <w:r>
              <w:rPr>
                <w:rFonts w:ascii="Arial" w:cs="Arial" w:eastAsia="Arial" w:hAnsi="Arial"/>
                <w:sz w:val="16"/>
                <w:szCs w:val="16"/>
                <w:color w:val="auto"/>
              </w:rPr>
              <w:t>(Loss) Income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(0.77)</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56"/>
        </w:trPr>
        <w:tc>
          <w:tcPr>
            <w:tcW w:w="8280" w:type="dxa"/>
            <w:vAlign w:val="bottom"/>
          </w:tcPr>
          <w:p>
            <w:pPr>
              <w:ind w:left="180"/>
              <w:spacing w:after="0"/>
              <w:rPr>
                <w:sz w:val="20"/>
                <w:szCs w:val="20"/>
                <w:color w:val="auto"/>
              </w:rPr>
            </w:pPr>
            <w:r>
              <w:rPr>
                <w:rFonts w:ascii="Arial" w:cs="Arial" w:eastAsia="Arial" w:hAnsi="Arial"/>
                <w:sz w:val="16"/>
                <w:szCs w:val="16"/>
                <w:color w:val="auto"/>
              </w:rPr>
              <w:t>Loss from discontinued operations</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8280" w:type="dxa"/>
            <w:vAlign w:val="bottom"/>
          </w:tcPr>
          <w:p>
            <w:pPr>
              <w:ind w:left="180"/>
              <w:spacing w:after="0"/>
              <w:rPr>
                <w:sz w:val="20"/>
                <w:szCs w:val="20"/>
                <w:color w:val="auto"/>
              </w:rPr>
            </w:pPr>
            <w:r>
              <w:rPr>
                <w:rFonts w:ascii="Arial" w:cs="Arial" w:eastAsia="Arial" w:hAnsi="Arial"/>
                <w:sz w:val="16"/>
                <w:szCs w:val="16"/>
                <w:color w:val="auto"/>
              </w:rPr>
              <w:t>Net (loss) income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(0.78)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6"/>
                <w:szCs w:val="16"/>
                <w:color w:val="auto"/>
              </w:rPr>
              <w:t>Diluted net (loss) income per share attributable to common stockholders:</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8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180"/>
              <w:spacing w:after="0"/>
              <w:rPr>
                <w:sz w:val="20"/>
                <w:szCs w:val="20"/>
                <w:color w:val="auto"/>
              </w:rPr>
            </w:pPr>
            <w:r>
              <w:rPr>
                <w:rFonts w:ascii="Arial" w:cs="Arial" w:eastAsia="Arial" w:hAnsi="Arial"/>
                <w:sz w:val="16"/>
                <w:szCs w:val="16"/>
                <w:color w:val="auto"/>
              </w:rPr>
              <w:t>(Loss) Income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(0.77)</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56"/>
        </w:trPr>
        <w:tc>
          <w:tcPr>
            <w:tcW w:w="8280" w:type="dxa"/>
            <w:vAlign w:val="bottom"/>
          </w:tcPr>
          <w:p>
            <w:pPr>
              <w:ind w:left="180"/>
              <w:spacing w:after="0"/>
              <w:rPr>
                <w:sz w:val="20"/>
                <w:szCs w:val="20"/>
                <w:color w:val="auto"/>
              </w:rPr>
            </w:pPr>
            <w:r>
              <w:rPr>
                <w:rFonts w:ascii="Arial" w:cs="Arial" w:eastAsia="Arial" w:hAnsi="Arial"/>
                <w:sz w:val="16"/>
                <w:szCs w:val="16"/>
                <w:color w:val="auto"/>
              </w:rPr>
              <w:t>Loss from discontinued operations</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8280" w:type="dxa"/>
            <w:vAlign w:val="bottom"/>
          </w:tcPr>
          <w:p>
            <w:pPr>
              <w:ind w:left="180"/>
              <w:spacing w:after="0"/>
              <w:rPr>
                <w:sz w:val="20"/>
                <w:szCs w:val="20"/>
                <w:color w:val="auto"/>
              </w:rPr>
            </w:pPr>
            <w:r>
              <w:rPr>
                <w:rFonts w:ascii="Arial" w:cs="Arial" w:eastAsia="Arial" w:hAnsi="Arial"/>
                <w:sz w:val="16"/>
                <w:szCs w:val="16"/>
                <w:color w:val="auto"/>
              </w:rPr>
              <w:t>Net (loss) income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(0.78)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6"/>
                <w:szCs w:val="16"/>
                <w:color w:val="auto"/>
              </w:rPr>
              <w:t>Weighted-average common shares outstanding:</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8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18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1"/>
                <w:szCs w:val="21"/>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274,037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275,589</w:t>
            </w:r>
          </w:p>
        </w:tc>
        <w:tc>
          <w:tcPr>
            <w:tcW w:w="0" w:type="dxa"/>
            <w:vAlign w:val="bottom"/>
          </w:tcPr>
          <w:p>
            <w:pPr>
              <w:spacing w:after="0"/>
              <w:rPr>
                <w:sz w:val="1"/>
                <w:szCs w:val="1"/>
                <w:color w:val="auto"/>
              </w:rPr>
            </w:pPr>
          </w:p>
        </w:tc>
      </w:tr>
      <w:tr>
        <w:trPr>
          <w:trHeight w:val="243"/>
        </w:trPr>
        <w:tc>
          <w:tcPr>
            <w:tcW w:w="8280" w:type="dxa"/>
            <w:vAlign w:val="bottom"/>
          </w:tcPr>
          <w:p>
            <w:pPr>
              <w:ind w:left="18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21"/>
                <w:szCs w:val="21"/>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274,037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277,605</w:t>
            </w:r>
          </w:p>
        </w:tc>
        <w:tc>
          <w:tcPr>
            <w:tcW w:w="0" w:type="dxa"/>
            <w:vAlign w:val="bottom"/>
          </w:tcPr>
          <w:p>
            <w:pPr>
              <w:spacing w:after="0"/>
              <w:rPr>
                <w:sz w:val="1"/>
                <w:szCs w:val="1"/>
                <w:color w:val="auto"/>
              </w:rPr>
            </w:pPr>
          </w:p>
        </w:tc>
      </w:tr>
      <w:tr>
        <w:trPr>
          <w:trHeight w:val="459"/>
        </w:trPr>
        <w:tc>
          <w:tcPr>
            <w:tcW w:w="8280" w:type="dxa"/>
            <w:vAlign w:val="bottom"/>
          </w:tcPr>
          <w:p>
            <w:pPr>
              <w:spacing w:after="0"/>
              <w:rPr>
                <w:sz w:val="20"/>
                <w:szCs w:val="20"/>
                <w:color w:val="auto"/>
              </w:rPr>
            </w:pPr>
            <w:r>
              <w:rPr>
                <w:rFonts w:ascii="Arial" w:cs="Arial" w:eastAsia="Arial" w:hAnsi="Arial"/>
                <w:sz w:val="16"/>
                <w:szCs w:val="16"/>
                <w:color w:val="auto"/>
              </w:rPr>
              <w:t>Dividends per common share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120"/>
          </w:cols>
          <w:pgMar w:left="440" w:top="886" w:right="3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SABRE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7"/>
                <w:szCs w:val="17"/>
                <w:color w:val="auto"/>
              </w:rPr>
            </w:pPr>
          </w:p>
        </w:tc>
        <w:tc>
          <w:tcPr>
            <w:tcW w:w="1600" w:type="dxa"/>
            <w:vAlign w:val="bottom"/>
          </w:tcPr>
          <w:p>
            <w:pPr>
              <w:jc w:val="right"/>
              <w:ind w:right="159"/>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684,472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436,176</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Accounts receivable, net of allowance for credit losses of $100,245 and $56,367</w:t>
            </w:r>
          </w:p>
        </w:tc>
        <w:tc>
          <w:tcPr>
            <w:tcW w:w="26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360,677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546,533</w:t>
            </w:r>
          </w:p>
        </w:tc>
        <w:tc>
          <w:tcPr>
            <w:tcW w:w="0" w:type="dxa"/>
            <w:vAlign w:val="bottom"/>
          </w:tcPr>
          <w:p>
            <w:pPr>
              <w:spacing w:after="0"/>
              <w:rPr>
                <w:sz w:val="1"/>
                <w:szCs w:val="1"/>
                <w:color w:val="auto"/>
              </w:rPr>
            </w:pPr>
          </w:p>
        </w:tc>
      </w:tr>
      <w:tr>
        <w:trPr>
          <w:trHeight w:val="256"/>
        </w:trPr>
        <w:tc>
          <w:tcPr>
            <w:tcW w:w="754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150,470</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139,211</w:t>
            </w:r>
          </w:p>
        </w:tc>
        <w:tc>
          <w:tcPr>
            <w:tcW w:w="0" w:type="dxa"/>
            <w:vAlign w:val="bottom"/>
          </w:tcPr>
          <w:p>
            <w:pPr>
              <w:spacing w:after="0"/>
              <w:rPr>
                <w:sz w:val="1"/>
                <w:szCs w:val="1"/>
                <w:color w:val="auto"/>
              </w:rPr>
            </w:pPr>
          </w:p>
        </w:tc>
      </w:tr>
      <w:tr>
        <w:trPr>
          <w:trHeight w:val="223"/>
        </w:trPr>
        <w:tc>
          <w:tcPr>
            <w:tcW w:w="754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9"/>
                <w:szCs w:val="19"/>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1,195,619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1,121,920</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Property and equipment, net of accumulated depreciation of $1,875,769 and $1,815,844</w:t>
            </w:r>
          </w:p>
        </w:tc>
        <w:tc>
          <w:tcPr>
            <w:tcW w:w="26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594,132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641,722</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Equity method investments</w:t>
            </w:r>
          </w:p>
        </w:tc>
        <w:tc>
          <w:tcPr>
            <w:tcW w:w="26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24,503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27,494</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2,631,077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2,633,251</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Acquired customer relationships, net of accumulated amortization of $741,744 and $735,367</w:t>
            </w:r>
          </w:p>
        </w:tc>
        <w:tc>
          <w:tcPr>
            <w:tcW w:w="26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306,081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311,015</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Other intangible assets, net of accumulated amortization of $684,491 and $674,073</w:t>
            </w:r>
          </w:p>
        </w:tc>
        <w:tc>
          <w:tcPr>
            <w:tcW w:w="26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251,421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262,638</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35,958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21,812</w:t>
            </w:r>
          </w:p>
        </w:tc>
        <w:tc>
          <w:tcPr>
            <w:tcW w:w="0" w:type="dxa"/>
            <w:vAlign w:val="bottom"/>
          </w:tcPr>
          <w:p>
            <w:pPr>
              <w:spacing w:after="0"/>
              <w:rPr>
                <w:sz w:val="1"/>
                <w:szCs w:val="1"/>
                <w:color w:val="auto"/>
              </w:rPr>
            </w:pPr>
          </w:p>
        </w:tc>
      </w:tr>
      <w:tr>
        <w:trPr>
          <w:trHeight w:val="256"/>
        </w:trPr>
        <w:tc>
          <w:tcPr>
            <w:tcW w:w="7540" w:type="dxa"/>
            <w:vAlign w:val="bottom"/>
          </w:tcPr>
          <w:p>
            <w:pPr>
              <w:spacing w:after="0"/>
              <w:rPr>
                <w:sz w:val="20"/>
                <w:szCs w:val="20"/>
                <w:color w:val="auto"/>
              </w:rPr>
            </w:pPr>
            <w:r>
              <w:rPr>
                <w:rFonts w:ascii="Arial" w:cs="Arial" w:eastAsia="Arial" w:hAnsi="Arial"/>
                <w:sz w:val="16"/>
                <w:szCs w:val="16"/>
                <w:color w:val="auto"/>
              </w:rPr>
              <w:t>Other assets, net</w:t>
            </w: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671,067</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670,105</w:t>
            </w:r>
          </w:p>
        </w:tc>
        <w:tc>
          <w:tcPr>
            <w:tcW w:w="0" w:type="dxa"/>
            <w:vAlign w:val="bottom"/>
          </w:tcPr>
          <w:p>
            <w:pPr>
              <w:spacing w:after="0"/>
              <w:rPr>
                <w:sz w:val="1"/>
                <w:szCs w:val="1"/>
                <w:color w:val="auto"/>
              </w:rPr>
            </w:pPr>
          </w:p>
        </w:tc>
      </w:tr>
      <w:tr>
        <w:trPr>
          <w:trHeight w:val="243"/>
        </w:trPr>
        <w:tc>
          <w:tcPr>
            <w:tcW w:w="7540" w:type="dxa"/>
            <w:vAlign w:val="bottom"/>
          </w:tcPr>
          <w:p>
            <w:pPr>
              <w:ind w:left="4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5,709,858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5,689,957</w:t>
            </w:r>
          </w:p>
        </w:tc>
        <w:tc>
          <w:tcPr>
            <w:tcW w:w="0" w:type="dxa"/>
            <w:vAlign w:val="bottom"/>
          </w:tcPr>
          <w:p>
            <w:pPr>
              <w:spacing w:after="0"/>
              <w:rPr>
                <w:sz w:val="1"/>
                <w:szCs w:val="1"/>
                <w:color w:val="auto"/>
              </w:rPr>
            </w:pPr>
          </w:p>
        </w:tc>
      </w:tr>
      <w:tr>
        <w:trPr>
          <w:trHeight w:val="21"/>
        </w:trPr>
        <w:tc>
          <w:tcPr>
            <w:tcW w:w="75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7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200,564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187,187</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Accrued compensation and related benefits</w:t>
            </w:r>
          </w:p>
        </w:tc>
        <w:tc>
          <w:tcPr>
            <w:tcW w:w="26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72,012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94,368</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Accrued subscriber incentives</w:t>
            </w:r>
          </w:p>
        </w:tc>
        <w:tc>
          <w:tcPr>
            <w:tcW w:w="26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253,019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316,254</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Deferred revenues</w:t>
            </w:r>
          </w:p>
        </w:tc>
        <w:tc>
          <w:tcPr>
            <w:tcW w:w="26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100,146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84,661</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Other accrued liabilities</w:t>
            </w:r>
          </w:p>
        </w:tc>
        <w:tc>
          <w:tcPr>
            <w:tcW w:w="26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262,818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189,548</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Current portion of debt</w:t>
            </w:r>
          </w:p>
        </w:tc>
        <w:tc>
          <w:tcPr>
            <w:tcW w:w="26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79,770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81,614</w:t>
            </w:r>
          </w:p>
        </w:tc>
        <w:tc>
          <w:tcPr>
            <w:tcW w:w="0" w:type="dxa"/>
            <w:vAlign w:val="bottom"/>
          </w:tcPr>
          <w:p>
            <w:pPr>
              <w:spacing w:after="0"/>
              <w:rPr>
                <w:sz w:val="1"/>
                <w:szCs w:val="1"/>
                <w:color w:val="auto"/>
              </w:rPr>
            </w:pPr>
          </w:p>
        </w:tc>
      </w:tr>
      <w:tr>
        <w:trPr>
          <w:trHeight w:val="256"/>
        </w:trPr>
        <w:tc>
          <w:tcPr>
            <w:tcW w:w="7540" w:type="dxa"/>
            <w:vAlign w:val="bottom"/>
          </w:tcPr>
          <w:p>
            <w:pPr>
              <w:ind w:left="200"/>
              <w:spacing w:after="0"/>
              <w:rPr>
                <w:sz w:val="20"/>
                <w:szCs w:val="20"/>
                <w:color w:val="auto"/>
              </w:rPr>
            </w:pPr>
            <w:r>
              <w:rPr>
                <w:rFonts w:ascii="Arial" w:cs="Arial" w:eastAsia="Arial" w:hAnsi="Arial"/>
                <w:sz w:val="16"/>
                <w:szCs w:val="16"/>
                <w:color w:val="auto"/>
              </w:rPr>
              <w:t>Tax Receivable Agreement</w:t>
            </w:r>
          </w:p>
        </w:tc>
        <w:tc>
          <w:tcPr>
            <w:tcW w:w="260" w:type="dxa"/>
            <w:vAlign w:val="bottom"/>
          </w:tcPr>
          <w:p>
            <w:pPr>
              <w:spacing w:after="0"/>
              <w:rPr>
                <w:sz w:val="22"/>
                <w:szCs w:val="22"/>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71,911</w:t>
            </w:r>
          </w:p>
        </w:tc>
        <w:tc>
          <w:tcPr>
            <w:tcW w:w="0" w:type="dxa"/>
            <w:vAlign w:val="bottom"/>
          </w:tcPr>
          <w:p>
            <w:pPr>
              <w:spacing w:after="0"/>
              <w:rPr>
                <w:sz w:val="1"/>
                <w:szCs w:val="1"/>
                <w:color w:val="auto"/>
              </w:rPr>
            </w:pPr>
          </w:p>
        </w:tc>
      </w:tr>
      <w:tr>
        <w:trPr>
          <w:trHeight w:val="224"/>
        </w:trPr>
        <w:tc>
          <w:tcPr>
            <w:tcW w:w="754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968,329</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1,025,543</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77,816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107,402</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361,690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347,522</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3,619,312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3,261,821</w:t>
            </w:r>
          </w:p>
        </w:tc>
        <w:tc>
          <w:tcPr>
            <w:tcW w:w="0" w:type="dxa"/>
            <w:vAlign w:val="bottom"/>
          </w:tcPr>
          <w:p>
            <w:pPr>
              <w:spacing w:after="0"/>
              <w:rPr>
                <w:sz w:val="1"/>
                <w:szCs w:val="1"/>
                <w:color w:val="auto"/>
              </w:rPr>
            </w:pPr>
          </w:p>
        </w:tc>
      </w:tr>
      <w:tr>
        <w:trPr>
          <w:trHeight w:val="459"/>
        </w:trPr>
        <w:tc>
          <w:tcPr>
            <w:tcW w:w="7540" w:type="dxa"/>
            <w:vAlign w:val="bottom"/>
          </w:tcPr>
          <w:p>
            <w:pPr>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160"/>
              <w:spacing w:after="0"/>
              <w:rPr>
                <w:sz w:val="20"/>
                <w:szCs w:val="20"/>
                <w:color w:val="auto"/>
              </w:rPr>
            </w:pPr>
            <w:r>
              <w:rPr>
                <w:rFonts w:ascii="Arial" w:cs="Arial" w:eastAsia="Arial" w:hAnsi="Arial"/>
                <w:sz w:val="16"/>
                <w:szCs w:val="16"/>
                <w:color w:val="auto"/>
              </w:rPr>
              <w:t>Common Stock: $0.01 par value; 1,000,000 authorized shares; 296,543 and 294,319 shares issued,</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540" w:type="dxa"/>
            <w:vAlign w:val="bottom"/>
          </w:tcPr>
          <w:p>
            <w:pPr>
              <w:ind w:left="160"/>
              <w:spacing w:after="0"/>
              <w:rPr>
                <w:sz w:val="20"/>
                <w:szCs w:val="20"/>
                <w:color w:val="auto"/>
              </w:rPr>
            </w:pPr>
            <w:r>
              <w:rPr>
                <w:rFonts w:ascii="Arial" w:cs="Arial" w:eastAsia="Arial" w:hAnsi="Arial"/>
                <w:sz w:val="16"/>
                <w:szCs w:val="16"/>
                <w:color w:val="auto"/>
              </w:rPr>
              <w:t>275,314 and 273,733 shares outstanding at March 31, 2020 and December 31, 2019, respectively</w:t>
            </w:r>
          </w:p>
        </w:tc>
        <w:tc>
          <w:tcPr>
            <w:tcW w:w="260" w:type="dxa"/>
            <w:vAlign w:val="bottom"/>
          </w:tcPr>
          <w:p>
            <w:pPr>
              <w:spacing w:after="0"/>
              <w:rPr>
                <w:sz w:val="16"/>
                <w:szCs w:val="16"/>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2,965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2,943</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2,335,171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2,317,544</w:t>
            </w:r>
          </w:p>
        </w:tc>
        <w:tc>
          <w:tcPr>
            <w:tcW w:w="0" w:type="dxa"/>
            <w:vAlign w:val="bottom"/>
          </w:tcPr>
          <w:p>
            <w:pPr>
              <w:spacing w:after="0"/>
              <w:rPr>
                <w:sz w:val="1"/>
                <w:szCs w:val="1"/>
                <w:color w:val="auto"/>
              </w:rPr>
            </w:pPr>
          </w:p>
        </w:tc>
      </w:tr>
      <w:tr>
        <w:trPr>
          <w:trHeight w:val="237"/>
        </w:trPr>
        <w:tc>
          <w:tcPr>
            <w:tcW w:w="7540" w:type="dxa"/>
            <w:vAlign w:val="bottom"/>
          </w:tcPr>
          <w:p>
            <w:pPr>
              <w:ind w:left="160"/>
              <w:spacing w:after="0"/>
              <w:rPr>
                <w:sz w:val="20"/>
                <w:szCs w:val="20"/>
                <w:color w:val="auto"/>
              </w:rPr>
            </w:pPr>
            <w:r>
              <w:rPr>
                <w:rFonts w:ascii="Arial" w:cs="Arial" w:eastAsia="Arial" w:hAnsi="Arial"/>
                <w:sz w:val="16"/>
                <w:szCs w:val="16"/>
                <w:color w:val="auto"/>
              </w:rPr>
              <w:t>Treasury Stock, at cost, 21,229 and 20,587 shares at March 31, 2020 and December 31, 2019,</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540" w:type="dxa"/>
            <w:vAlign w:val="bottom"/>
          </w:tcPr>
          <w:p>
            <w:pPr>
              <w:ind w:left="160"/>
              <w:spacing w:after="0"/>
              <w:rPr>
                <w:sz w:val="20"/>
                <w:szCs w:val="20"/>
                <w:color w:val="auto"/>
              </w:rPr>
            </w:pPr>
            <w:r>
              <w:rPr>
                <w:rFonts w:ascii="Arial" w:cs="Arial" w:eastAsia="Arial" w:hAnsi="Arial"/>
                <w:sz w:val="16"/>
                <w:szCs w:val="16"/>
                <w:color w:val="auto"/>
              </w:rPr>
              <w:t>respectively</w:t>
            </w:r>
          </w:p>
        </w:tc>
        <w:tc>
          <w:tcPr>
            <w:tcW w:w="260" w:type="dxa"/>
            <w:vAlign w:val="bottom"/>
          </w:tcPr>
          <w:p>
            <w:pPr>
              <w:spacing w:after="0"/>
              <w:rPr>
                <w:sz w:val="16"/>
                <w:szCs w:val="16"/>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(473,890)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(468,618)</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Retained deficit</w:t>
            </w:r>
          </w:p>
        </w:tc>
        <w:tc>
          <w:tcPr>
            <w:tcW w:w="26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(1,022,297)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(763,482)</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(168,609)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(149,306)</w:t>
            </w:r>
          </w:p>
        </w:tc>
        <w:tc>
          <w:tcPr>
            <w:tcW w:w="0" w:type="dxa"/>
            <w:vAlign w:val="bottom"/>
          </w:tcPr>
          <w:p>
            <w:pPr>
              <w:spacing w:after="0"/>
              <w:rPr>
                <w:sz w:val="1"/>
                <w:szCs w:val="1"/>
                <w:color w:val="auto"/>
              </w:rPr>
            </w:pPr>
          </w:p>
        </w:tc>
      </w:tr>
      <w:tr>
        <w:trPr>
          <w:trHeight w:val="256"/>
        </w:trPr>
        <w:tc>
          <w:tcPr>
            <w:tcW w:w="7540" w:type="dxa"/>
            <w:vAlign w:val="bottom"/>
          </w:tcPr>
          <w:p>
            <w:pPr>
              <w:ind w:left="20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9,371</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8,588</w:t>
            </w:r>
          </w:p>
        </w:tc>
        <w:tc>
          <w:tcPr>
            <w:tcW w:w="0" w:type="dxa"/>
            <w:vAlign w:val="bottom"/>
          </w:tcPr>
          <w:p>
            <w:pPr>
              <w:spacing w:after="0"/>
              <w:rPr>
                <w:sz w:val="1"/>
                <w:szCs w:val="1"/>
                <w:color w:val="auto"/>
              </w:rPr>
            </w:pPr>
          </w:p>
        </w:tc>
      </w:tr>
      <w:tr>
        <w:trPr>
          <w:trHeight w:val="236"/>
        </w:trPr>
        <w:tc>
          <w:tcPr>
            <w:tcW w:w="7540" w:type="dxa"/>
            <w:vAlign w:val="bottom"/>
          </w:tcPr>
          <w:p>
            <w:pPr>
              <w:ind w:left="44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682,711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947,669</w:t>
            </w:r>
          </w:p>
        </w:tc>
        <w:tc>
          <w:tcPr>
            <w:tcW w:w="0" w:type="dxa"/>
            <w:vAlign w:val="bottom"/>
          </w:tcPr>
          <w:p>
            <w:pPr>
              <w:spacing w:after="0"/>
              <w:rPr>
                <w:sz w:val="1"/>
                <w:szCs w:val="1"/>
                <w:color w:val="auto"/>
              </w:rPr>
            </w:pPr>
          </w:p>
        </w:tc>
      </w:tr>
      <w:tr>
        <w:trPr>
          <w:trHeight w:val="243"/>
        </w:trPr>
        <w:tc>
          <w:tcPr>
            <w:tcW w:w="7540" w:type="dxa"/>
            <w:vAlign w:val="bottom"/>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5,709,858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5,689,957</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20"/>
          </w:cols>
          <w:pgMar w:left="340" w:top="886" w:right="3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SABRE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20" w:type="dxa"/>
            <w:vAlign w:val="bottom"/>
          </w:tcPr>
          <w:p>
            <w:pPr>
              <w:spacing w:after="0"/>
              <w:rPr>
                <w:sz w:val="17"/>
                <w:szCs w:val="17"/>
                <w:color w:val="auto"/>
              </w:rPr>
            </w:pPr>
          </w:p>
        </w:tc>
        <w:tc>
          <w:tcPr>
            <w:tcW w:w="340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17"/>
                <w:szCs w:val="17"/>
                <w:color w:val="auto"/>
              </w:rPr>
            </w:pPr>
          </w:p>
        </w:tc>
      </w:tr>
      <w:tr>
        <w:trPr>
          <w:trHeight w:val="209"/>
        </w:trPr>
        <w:tc>
          <w:tcPr>
            <w:tcW w:w="70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8"/>
                <w:szCs w:val="18"/>
                <w:color w:val="auto"/>
              </w:rPr>
            </w:pPr>
          </w:p>
        </w:tc>
      </w:tr>
      <w:tr>
        <w:trPr>
          <w:trHeight w:val="204"/>
        </w:trPr>
        <w:tc>
          <w:tcPr>
            <w:tcW w:w="702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7020" w:type="dxa"/>
            <w:vAlign w:val="bottom"/>
          </w:tcPr>
          <w:p>
            <w:pPr>
              <w:ind w:left="200"/>
              <w:spacing w:after="0"/>
              <w:rPr>
                <w:sz w:val="20"/>
                <w:szCs w:val="20"/>
                <w:color w:val="auto"/>
              </w:rPr>
            </w:pPr>
            <w:r>
              <w:rPr>
                <w:rFonts w:ascii="Arial" w:cs="Arial" w:eastAsia="Arial" w:hAnsi="Arial"/>
                <w:sz w:val="14"/>
                <w:szCs w:val="14"/>
                <w:color w:val="auto"/>
              </w:rPr>
              <w:t>Net (loss) income</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(211,897)</w:t>
            </w:r>
          </w:p>
        </w:tc>
        <w:tc>
          <w:tcPr>
            <w:tcW w:w="120" w:type="dxa"/>
            <w:vAlign w:val="bottom"/>
          </w:tcPr>
          <w:p>
            <w:pPr>
              <w:spacing w:after="0"/>
              <w:rPr>
                <w:sz w:val="18"/>
                <w:szCs w:val="18"/>
                <w:color w:val="auto"/>
              </w:rPr>
            </w:pP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57,762</w:t>
            </w:r>
          </w:p>
        </w:tc>
      </w:tr>
      <w:tr>
        <w:trPr>
          <w:trHeight w:val="216"/>
        </w:trPr>
        <w:tc>
          <w:tcPr>
            <w:tcW w:w="7020" w:type="dxa"/>
            <w:vAlign w:val="bottom"/>
          </w:tcPr>
          <w:p>
            <w:pPr>
              <w:ind w:left="200"/>
              <w:spacing w:after="0"/>
              <w:rPr>
                <w:sz w:val="20"/>
                <w:szCs w:val="20"/>
                <w:color w:val="auto"/>
              </w:rPr>
            </w:pPr>
            <w:r>
              <w:rPr>
                <w:rFonts w:ascii="Arial" w:cs="Arial" w:eastAsia="Arial" w:hAnsi="Arial"/>
                <w:sz w:val="14"/>
                <w:szCs w:val="14"/>
                <w:color w:val="auto"/>
              </w:rPr>
              <w:t>Adjustments to reconcile net (loss) income to cash provided by operating activities:</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20" w:type="dxa"/>
            <w:vAlign w:val="bottom"/>
          </w:tcPr>
          <w:p>
            <w:pPr>
              <w:ind w:left="440"/>
              <w:spacing w:after="0"/>
              <w:rPr>
                <w:sz w:val="20"/>
                <w:szCs w:val="20"/>
                <w:color w:val="auto"/>
              </w:rPr>
            </w:pPr>
            <w:r>
              <w:rPr>
                <w:rFonts w:ascii="Arial" w:cs="Arial" w:eastAsia="Arial" w:hAnsi="Arial"/>
                <w:sz w:val="14"/>
                <w:szCs w:val="14"/>
                <w:color w:val="auto"/>
              </w:rPr>
              <w:t>Depreciation and amortization</w:t>
            </w: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95,861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103,443</w:t>
            </w:r>
          </w:p>
        </w:tc>
      </w:tr>
      <w:tr>
        <w:trPr>
          <w:trHeight w:val="216"/>
        </w:trPr>
        <w:tc>
          <w:tcPr>
            <w:tcW w:w="7020" w:type="dxa"/>
            <w:vAlign w:val="bottom"/>
          </w:tcPr>
          <w:p>
            <w:pPr>
              <w:ind w:left="440"/>
              <w:spacing w:after="0"/>
              <w:rPr>
                <w:sz w:val="20"/>
                <w:szCs w:val="20"/>
                <w:color w:val="auto"/>
              </w:rPr>
            </w:pPr>
            <w:r>
              <w:rPr>
                <w:rFonts w:ascii="Arial" w:cs="Arial" w:eastAsia="Arial" w:hAnsi="Arial"/>
                <w:sz w:val="14"/>
                <w:szCs w:val="14"/>
                <w:color w:val="auto"/>
              </w:rPr>
              <w:t>Deferred income taxes</w:t>
            </w: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(41,732)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(13,932)</w:t>
            </w:r>
          </w:p>
        </w:tc>
      </w:tr>
      <w:tr>
        <w:trPr>
          <w:trHeight w:val="216"/>
        </w:trPr>
        <w:tc>
          <w:tcPr>
            <w:tcW w:w="7020" w:type="dxa"/>
            <w:vAlign w:val="bottom"/>
          </w:tcPr>
          <w:p>
            <w:pPr>
              <w:ind w:left="440"/>
              <w:spacing w:after="0"/>
              <w:rPr>
                <w:sz w:val="20"/>
                <w:szCs w:val="20"/>
                <w:color w:val="auto"/>
              </w:rPr>
            </w:pPr>
            <w:r>
              <w:rPr>
                <w:rFonts w:ascii="Arial" w:cs="Arial" w:eastAsia="Arial" w:hAnsi="Arial"/>
                <w:sz w:val="14"/>
                <w:szCs w:val="14"/>
                <w:color w:val="auto"/>
              </w:rPr>
              <w:t>Allowance for credit losses</w:t>
            </w: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36,359</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5,370</w:t>
            </w:r>
          </w:p>
        </w:tc>
      </w:tr>
      <w:tr>
        <w:trPr>
          <w:trHeight w:val="216"/>
        </w:trPr>
        <w:tc>
          <w:tcPr>
            <w:tcW w:w="7020" w:type="dxa"/>
            <w:vAlign w:val="bottom"/>
          </w:tcPr>
          <w:p>
            <w:pPr>
              <w:ind w:left="440"/>
              <w:spacing w:after="0"/>
              <w:rPr>
                <w:sz w:val="20"/>
                <w:szCs w:val="20"/>
                <w:color w:val="auto"/>
              </w:rPr>
            </w:pPr>
            <w:r>
              <w:rPr>
                <w:rFonts w:ascii="Arial" w:cs="Arial" w:eastAsia="Arial" w:hAnsi="Arial"/>
                <w:sz w:val="14"/>
                <w:szCs w:val="14"/>
                <w:color w:val="auto"/>
              </w:rPr>
              <w:t>Acquisition termination fee</w:t>
            </w: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24,811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7020" w:type="dxa"/>
            <w:vAlign w:val="bottom"/>
          </w:tcPr>
          <w:p>
            <w:pPr>
              <w:ind w:left="440"/>
              <w:spacing w:after="0"/>
              <w:rPr>
                <w:sz w:val="20"/>
                <w:szCs w:val="20"/>
                <w:color w:val="auto"/>
              </w:rPr>
            </w:pPr>
            <w:r>
              <w:rPr>
                <w:rFonts w:ascii="Arial" w:cs="Arial" w:eastAsia="Arial" w:hAnsi="Arial"/>
                <w:sz w:val="14"/>
                <w:szCs w:val="14"/>
                <w:color w:val="auto"/>
              </w:rPr>
              <w:t>Amortization of upfront incentive consideration</w:t>
            </w: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18,213</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19,128</w:t>
            </w:r>
          </w:p>
        </w:tc>
      </w:tr>
      <w:tr>
        <w:trPr>
          <w:trHeight w:val="216"/>
        </w:trPr>
        <w:tc>
          <w:tcPr>
            <w:tcW w:w="7020" w:type="dxa"/>
            <w:vAlign w:val="bottom"/>
          </w:tcPr>
          <w:p>
            <w:pPr>
              <w:ind w:left="440"/>
              <w:spacing w:after="0"/>
              <w:rPr>
                <w:sz w:val="20"/>
                <w:szCs w:val="20"/>
                <w:color w:val="auto"/>
              </w:rPr>
            </w:pPr>
            <w:r>
              <w:rPr>
                <w:rFonts w:ascii="Arial" w:cs="Arial" w:eastAsia="Arial" w:hAnsi="Arial"/>
                <w:sz w:val="14"/>
                <w:szCs w:val="14"/>
                <w:color w:val="auto"/>
              </w:rPr>
              <w:t>Stock-based compensation expense</w:t>
            </w: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17,577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15,694</w:t>
            </w:r>
          </w:p>
        </w:tc>
      </w:tr>
      <w:tr>
        <w:trPr>
          <w:trHeight w:val="216"/>
        </w:trPr>
        <w:tc>
          <w:tcPr>
            <w:tcW w:w="7020" w:type="dxa"/>
            <w:vAlign w:val="bottom"/>
          </w:tcPr>
          <w:p>
            <w:pPr>
              <w:ind w:left="440"/>
              <w:spacing w:after="0"/>
              <w:rPr>
                <w:sz w:val="20"/>
                <w:szCs w:val="20"/>
                <w:color w:val="auto"/>
              </w:rPr>
            </w:pPr>
            <w:r>
              <w:rPr>
                <w:rFonts w:ascii="Arial" w:cs="Arial" w:eastAsia="Arial" w:hAnsi="Arial"/>
                <w:sz w:val="14"/>
                <w:szCs w:val="14"/>
                <w:color w:val="auto"/>
              </w:rPr>
              <w:t>Other</w:t>
            </w: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(4,196)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(1,189)</w:t>
            </w:r>
          </w:p>
        </w:tc>
      </w:tr>
      <w:tr>
        <w:trPr>
          <w:trHeight w:val="216"/>
        </w:trPr>
        <w:tc>
          <w:tcPr>
            <w:tcW w:w="7020" w:type="dxa"/>
            <w:vAlign w:val="bottom"/>
          </w:tcPr>
          <w:p>
            <w:pPr>
              <w:ind w:left="440"/>
              <w:spacing w:after="0"/>
              <w:rPr>
                <w:sz w:val="20"/>
                <w:szCs w:val="20"/>
                <w:color w:val="auto"/>
              </w:rPr>
            </w:pPr>
            <w:r>
              <w:rPr>
                <w:rFonts w:ascii="Arial" w:cs="Arial" w:eastAsia="Arial" w:hAnsi="Arial"/>
                <w:sz w:val="14"/>
                <w:szCs w:val="14"/>
                <w:color w:val="auto"/>
              </w:rPr>
              <w:t>Loss from discontinued operations</w:t>
            </w: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2,126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1,452</w:t>
            </w:r>
          </w:p>
        </w:tc>
      </w:tr>
      <w:tr>
        <w:trPr>
          <w:trHeight w:val="216"/>
        </w:trPr>
        <w:tc>
          <w:tcPr>
            <w:tcW w:w="7020" w:type="dxa"/>
            <w:vAlign w:val="bottom"/>
          </w:tcPr>
          <w:p>
            <w:pPr>
              <w:ind w:left="440"/>
              <w:spacing w:after="0"/>
              <w:rPr>
                <w:sz w:val="20"/>
                <w:szCs w:val="20"/>
                <w:color w:val="auto"/>
              </w:rPr>
            </w:pPr>
            <w:r>
              <w:rPr>
                <w:rFonts w:ascii="Arial" w:cs="Arial" w:eastAsia="Arial" w:hAnsi="Arial"/>
                <w:sz w:val="14"/>
                <w:szCs w:val="14"/>
                <w:color w:val="auto"/>
              </w:rPr>
              <w:t>Dividends received from equity method investments</w:t>
            </w: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1,652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996</w:t>
            </w:r>
          </w:p>
        </w:tc>
      </w:tr>
      <w:tr>
        <w:trPr>
          <w:trHeight w:val="216"/>
        </w:trPr>
        <w:tc>
          <w:tcPr>
            <w:tcW w:w="7020" w:type="dxa"/>
            <w:vAlign w:val="bottom"/>
          </w:tcPr>
          <w:p>
            <w:pPr>
              <w:ind w:left="440"/>
              <w:spacing w:after="0"/>
              <w:rPr>
                <w:sz w:val="20"/>
                <w:szCs w:val="20"/>
                <w:color w:val="auto"/>
              </w:rPr>
            </w:pPr>
            <w:r>
              <w:rPr>
                <w:rFonts w:ascii="Arial" w:cs="Arial" w:eastAsia="Arial" w:hAnsi="Arial"/>
                <w:sz w:val="14"/>
                <w:szCs w:val="14"/>
                <w:color w:val="auto"/>
              </w:rPr>
              <w:t>Amortization of debt issuance costs</w:t>
            </w: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993</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993</w:t>
            </w:r>
          </w:p>
        </w:tc>
      </w:tr>
      <w:tr>
        <w:trPr>
          <w:trHeight w:val="216"/>
        </w:trPr>
        <w:tc>
          <w:tcPr>
            <w:tcW w:w="7020" w:type="dxa"/>
            <w:vAlign w:val="bottom"/>
          </w:tcPr>
          <w:p>
            <w:pPr>
              <w:ind w:left="440"/>
              <w:spacing w:after="0"/>
              <w:rPr>
                <w:sz w:val="20"/>
                <w:szCs w:val="20"/>
                <w:color w:val="auto"/>
              </w:rPr>
            </w:pPr>
            <w:r>
              <w:rPr>
                <w:rFonts w:ascii="Arial" w:cs="Arial" w:eastAsia="Arial" w:hAnsi="Arial"/>
                <w:sz w:val="14"/>
                <w:szCs w:val="14"/>
                <w:color w:val="auto"/>
              </w:rPr>
              <w:t>Equity method loss (income)</w:t>
            </w: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(533)</w:t>
            </w:r>
          </w:p>
        </w:tc>
      </w:tr>
      <w:tr>
        <w:trPr>
          <w:trHeight w:val="216"/>
        </w:trPr>
        <w:tc>
          <w:tcPr>
            <w:tcW w:w="702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20" w:type="dxa"/>
            <w:vAlign w:val="bottom"/>
          </w:tcPr>
          <w:p>
            <w:pPr>
              <w:ind w:left="440"/>
              <w:spacing w:after="0"/>
              <w:rPr>
                <w:sz w:val="20"/>
                <w:szCs w:val="20"/>
                <w:color w:val="auto"/>
              </w:rPr>
            </w:pPr>
            <w:r>
              <w:rPr>
                <w:rFonts w:ascii="Arial" w:cs="Arial" w:eastAsia="Arial" w:hAnsi="Arial"/>
                <w:sz w:val="14"/>
                <w:szCs w:val="14"/>
                <w:color w:val="auto"/>
              </w:rPr>
              <w:t>Accounts and other receivables</w:t>
            </w: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120,580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(95,354)</w:t>
            </w:r>
          </w:p>
        </w:tc>
      </w:tr>
      <w:tr>
        <w:trPr>
          <w:trHeight w:val="216"/>
        </w:trPr>
        <w:tc>
          <w:tcPr>
            <w:tcW w:w="7020" w:type="dxa"/>
            <w:vAlign w:val="bottom"/>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(10,120)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(24,429)</w:t>
            </w:r>
          </w:p>
        </w:tc>
      </w:tr>
      <w:tr>
        <w:trPr>
          <w:trHeight w:val="216"/>
        </w:trPr>
        <w:tc>
          <w:tcPr>
            <w:tcW w:w="7020" w:type="dxa"/>
            <w:vAlign w:val="bottom"/>
          </w:tcPr>
          <w:p>
            <w:pPr>
              <w:ind w:left="440"/>
              <w:spacing w:after="0"/>
              <w:rPr>
                <w:sz w:val="20"/>
                <w:szCs w:val="20"/>
                <w:color w:val="auto"/>
              </w:rPr>
            </w:pPr>
            <w:r>
              <w:rPr>
                <w:rFonts w:ascii="Arial" w:cs="Arial" w:eastAsia="Arial" w:hAnsi="Arial"/>
                <w:sz w:val="14"/>
                <w:szCs w:val="14"/>
                <w:color w:val="auto"/>
              </w:rPr>
              <w:t>Capitalized implementation costs</w:t>
            </w: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(1,472)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(7,619)</w:t>
            </w:r>
          </w:p>
        </w:tc>
      </w:tr>
      <w:tr>
        <w:trPr>
          <w:trHeight w:val="216"/>
        </w:trPr>
        <w:tc>
          <w:tcPr>
            <w:tcW w:w="7020" w:type="dxa"/>
            <w:vAlign w:val="bottom"/>
          </w:tcPr>
          <w:p>
            <w:pPr>
              <w:ind w:left="440"/>
              <w:spacing w:after="0"/>
              <w:rPr>
                <w:sz w:val="20"/>
                <w:szCs w:val="20"/>
                <w:color w:val="auto"/>
              </w:rPr>
            </w:pPr>
            <w:r>
              <w:rPr>
                <w:rFonts w:ascii="Arial" w:cs="Arial" w:eastAsia="Arial" w:hAnsi="Arial"/>
                <w:sz w:val="14"/>
                <w:szCs w:val="14"/>
                <w:color w:val="auto"/>
              </w:rPr>
              <w:t>Upfront incentive consideration</w:t>
            </w: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(22,566)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(22,052)</w:t>
            </w:r>
          </w:p>
        </w:tc>
      </w:tr>
      <w:tr>
        <w:trPr>
          <w:trHeight w:val="216"/>
        </w:trPr>
        <w:tc>
          <w:tcPr>
            <w:tcW w:w="7020" w:type="dxa"/>
            <w:vAlign w:val="bottom"/>
          </w:tcPr>
          <w:p>
            <w:pPr>
              <w:ind w:left="440"/>
              <w:spacing w:after="0"/>
              <w:rPr>
                <w:sz w:val="20"/>
                <w:szCs w:val="20"/>
                <w:color w:val="auto"/>
              </w:rPr>
            </w:pPr>
            <w:r>
              <w:rPr>
                <w:rFonts w:ascii="Arial" w:cs="Arial" w:eastAsia="Arial" w:hAnsi="Arial"/>
                <w:sz w:val="14"/>
                <w:szCs w:val="14"/>
                <w:color w:val="auto"/>
              </w:rPr>
              <w:t>Other assets</w:t>
            </w: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16,102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26,078</w:t>
            </w:r>
          </w:p>
        </w:tc>
      </w:tr>
      <w:tr>
        <w:trPr>
          <w:trHeight w:val="216"/>
        </w:trPr>
        <w:tc>
          <w:tcPr>
            <w:tcW w:w="7020" w:type="dxa"/>
            <w:vAlign w:val="bottom"/>
          </w:tcPr>
          <w:p>
            <w:pPr>
              <w:ind w:left="440"/>
              <w:spacing w:after="0"/>
              <w:rPr>
                <w:sz w:val="20"/>
                <w:szCs w:val="20"/>
                <w:color w:val="auto"/>
              </w:rPr>
            </w:pPr>
            <w:r>
              <w:rPr>
                <w:rFonts w:ascii="Arial" w:cs="Arial" w:eastAsia="Arial" w:hAnsi="Arial"/>
                <w:sz w:val="14"/>
                <w:szCs w:val="14"/>
                <w:color w:val="auto"/>
              </w:rPr>
              <w:t>Accrued compensation and related benefits</w:t>
            </w: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(23,655)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(47,150)</w:t>
            </w:r>
          </w:p>
        </w:tc>
      </w:tr>
      <w:tr>
        <w:trPr>
          <w:trHeight w:val="216"/>
        </w:trPr>
        <w:tc>
          <w:tcPr>
            <w:tcW w:w="7020" w:type="dxa"/>
            <w:vAlign w:val="bottom"/>
          </w:tcPr>
          <w:p>
            <w:pPr>
              <w:ind w:left="440"/>
              <w:spacing w:after="0"/>
              <w:rPr>
                <w:sz w:val="20"/>
                <w:szCs w:val="20"/>
                <w:color w:val="auto"/>
              </w:rPr>
            </w:pPr>
            <w:r>
              <w:rPr>
                <w:rFonts w:ascii="Arial" w:cs="Arial" w:eastAsia="Arial" w:hAnsi="Arial"/>
                <w:sz w:val="14"/>
                <w:szCs w:val="14"/>
                <w:color w:val="auto"/>
              </w:rPr>
              <w:t>Accounts payable and other accrued liabilities</w:t>
            </w: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(1,197)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131,753</w:t>
            </w:r>
          </w:p>
        </w:tc>
      </w:tr>
      <w:tr>
        <w:trPr>
          <w:trHeight w:val="222"/>
        </w:trPr>
        <w:tc>
          <w:tcPr>
            <w:tcW w:w="7020" w:type="dxa"/>
            <w:vAlign w:val="bottom"/>
          </w:tcPr>
          <w:p>
            <w:pPr>
              <w:ind w:left="440"/>
              <w:spacing w:after="0"/>
              <w:rPr>
                <w:sz w:val="20"/>
                <w:szCs w:val="20"/>
                <w:color w:val="auto"/>
              </w:rPr>
            </w:pPr>
            <w:r>
              <w:rPr>
                <w:rFonts w:ascii="Arial" w:cs="Arial" w:eastAsia="Arial" w:hAnsi="Arial"/>
                <w:sz w:val="14"/>
                <w:szCs w:val="14"/>
                <w:color w:val="auto"/>
              </w:rPr>
              <w:t>Deferred revenue including upfront solution fees</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22,306</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1,589</w:t>
            </w:r>
          </w:p>
        </w:tc>
      </w:tr>
      <w:tr>
        <w:trPr>
          <w:trHeight w:val="203"/>
        </w:trPr>
        <w:tc>
          <w:tcPr>
            <w:tcW w:w="7020" w:type="dxa"/>
            <w:vAlign w:val="bottom"/>
          </w:tcPr>
          <w:p>
            <w:pPr>
              <w:ind w:left="640"/>
              <w:spacing w:after="0"/>
              <w:rPr>
                <w:sz w:val="20"/>
                <w:szCs w:val="20"/>
                <w:color w:val="auto"/>
              </w:rPr>
            </w:pPr>
            <w:r>
              <w:rPr>
                <w:rFonts w:ascii="Arial" w:cs="Arial" w:eastAsia="Arial" w:hAnsi="Arial"/>
                <w:sz w:val="14"/>
                <w:szCs w:val="14"/>
                <w:color w:val="auto"/>
              </w:rPr>
              <w:t>Cash provided by operating activities</w:t>
            </w:r>
          </w:p>
        </w:tc>
        <w:tc>
          <w:tcPr>
            <w:tcW w:w="124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40,431</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152,000</w:t>
            </w:r>
          </w:p>
        </w:tc>
      </w:tr>
      <w:tr>
        <w:trPr>
          <w:trHeight w:val="216"/>
        </w:trPr>
        <w:tc>
          <w:tcPr>
            <w:tcW w:w="702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20" w:type="dxa"/>
            <w:vAlign w:val="bottom"/>
          </w:tcPr>
          <w:p>
            <w:pPr>
              <w:ind w:left="200"/>
              <w:spacing w:after="0"/>
              <w:rPr>
                <w:sz w:val="20"/>
                <w:szCs w:val="20"/>
                <w:color w:val="auto"/>
              </w:rPr>
            </w:pPr>
            <w:r>
              <w:rPr>
                <w:rFonts w:ascii="Arial" w:cs="Arial" w:eastAsia="Arial" w:hAnsi="Arial"/>
                <w:sz w:val="14"/>
                <w:szCs w:val="14"/>
                <w:color w:val="auto"/>
              </w:rPr>
              <w:t>Additions to property and equipment</w:t>
            </w: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(28,437)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(37,864)</w:t>
            </w:r>
          </w:p>
        </w:tc>
      </w:tr>
      <w:tr>
        <w:trPr>
          <w:trHeight w:val="222"/>
        </w:trPr>
        <w:tc>
          <w:tcPr>
            <w:tcW w:w="7020" w:type="dxa"/>
            <w:vAlign w:val="bottom"/>
          </w:tcPr>
          <w:p>
            <w:pPr>
              <w:ind w:left="200"/>
              <w:spacing w:after="0"/>
              <w:rPr>
                <w:sz w:val="20"/>
                <w:szCs w:val="20"/>
                <w:color w:val="auto"/>
              </w:rPr>
            </w:pPr>
            <w:r>
              <w:rPr>
                <w:rFonts w:ascii="Arial" w:cs="Arial" w:eastAsia="Arial" w:hAnsi="Arial"/>
                <w:sz w:val="14"/>
                <w:szCs w:val="14"/>
                <w:color w:val="auto"/>
              </w:rPr>
              <w:t>Other investing activities</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(4,413)</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03"/>
        </w:trPr>
        <w:tc>
          <w:tcPr>
            <w:tcW w:w="7020" w:type="dxa"/>
            <w:vAlign w:val="bottom"/>
          </w:tcPr>
          <w:p>
            <w:pPr>
              <w:ind w:left="520"/>
              <w:spacing w:after="0"/>
              <w:rPr>
                <w:sz w:val="20"/>
                <w:szCs w:val="20"/>
                <w:color w:val="auto"/>
              </w:rPr>
            </w:pPr>
            <w:r>
              <w:rPr>
                <w:rFonts w:ascii="Arial" w:cs="Arial" w:eastAsia="Arial" w:hAnsi="Arial"/>
                <w:sz w:val="14"/>
                <w:szCs w:val="14"/>
                <w:color w:val="auto"/>
              </w:rPr>
              <w:t>Cash used in investing activities</w:t>
            </w:r>
          </w:p>
        </w:tc>
        <w:tc>
          <w:tcPr>
            <w:tcW w:w="12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(32,850)</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(37,864)</w:t>
            </w:r>
          </w:p>
        </w:tc>
      </w:tr>
      <w:tr>
        <w:trPr>
          <w:trHeight w:val="216"/>
        </w:trPr>
        <w:tc>
          <w:tcPr>
            <w:tcW w:w="702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20" w:type="dxa"/>
            <w:vAlign w:val="bottom"/>
          </w:tcPr>
          <w:p>
            <w:pPr>
              <w:ind w:left="200"/>
              <w:spacing w:after="0"/>
              <w:rPr>
                <w:sz w:val="20"/>
                <w:szCs w:val="20"/>
                <w:color w:val="auto"/>
              </w:rPr>
            </w:pPr>
            <w:r>
              <w:rPr>
                <w:rFonts w:ascii="Arial" w:cs="Arial" w:eastAsia="Arial" w:hAnsi="Arial"/>
                <w:sz w:val="14"/>
                <w:szCs w:val="14"/>
                <w:color w:val="auto"/>
              </w:rPr>
              <w:t>Proceeds of borrowings from lenders</w:t>
            </w: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375,000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7020" w:type="dxa"/>
            <w:vAlign w:val="bottom"/>
          </w:tcPr>
          <w:p>
            <w:pPr>
              <w:ind w:left="200"/>
              <w:spacing w:after="0"/>
              <w:rPr>
                <w:sz w:val="20"/>
                <w:szCs w:val="20"/>
                <w:color w:val="auto"/>
              </w:rPr>
            </w:pPr>
            <w:r>
              <w:rPr>
                <w:rFonts w:ascii="Arial" w:cs="Arial" w:eastAsia="Arial" w:hAnsi="Arial"/>
                <w:sz w:val="14"/>
                <w:szCs w:val="14"/>
                <w:color w:val="auto"/>
              </w:rPr>
              <w:t>Payments on Tax Receivable Agreement</w:t>
            </w: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(71,958)</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(72,790)</w:t>
            </w:r>
          </w:p>
        </w:tc>
      </w:tr>
      <w:tr>
        <w:trPr>
          <w:trHeight w:val="216"/>
        </w:trPr>
        <w:tc>
          <w:tcPr>
            <w:tcW w:w="7020" w:type="dxa"/>
            <w:vAlign w:val="bottom"/>
          </w:tcPr>
          <w:p>
            <w:pPr>
              <w:ind w:left="200"/>
              <w:spacing w:after="0"/>
              <w:rPr>
                <w:sz w:val="20"/>
                <w:szCs w:val="20"/>
                <w:color w:val="auto"/>
              </w:rPr>
            </w:pPr>
            <w:r>
              <w:rPr>
                <w:rFonts w:ascii="Arial" w:cs="Arial" w:eastAsia="Arial" w:hAnsi="Arial"/>
                <w:sz w:val="14"/>
                <w:szCs w:val="14"/>
                <w:color w:val="auto"/>
              </w:rPr>
              <w:t>Cash dividends paid to common stockholders</w:t>
            </w: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(38,544)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(38,594)</w:t>
            </w:r>
          </w:p>
        </w:tc>
      </w:tr>
      <w:tr>
        <w:trPr>
          <w:trHeight w:val="216"/>
        </w:trPr>
        <w:tc>
          <w:tcPr>
            <w:tcW w:w="7020" w:type="dxa"/>
            <w:vAlign w:val="bottom"/>
          </w:tcPr>
          <w:p>
            <w:pPr>
              <w:ind w:left="200"/>
              <w:spacing w:after="0"/>
              <w:rPr>
                <w:sz w:val="20"/>
                <w:szCs w:val="20"/>
                <w:color w:val="auto"/>
              </w:rPr>
            </w:pPr>
            <w:r>
              <w:rPr>
                <w:rFonts w:ascii="Arial" w:cs="Arial" w:eastAsia="Arial" w:hAnsi="Arial"/>
                <w:sz w:val="14"/>
                <w:szCs w:val="14"/>
                <w:color w:val="auto"/>
              </w:rPr>
              <w:t>Payments on borrowings from lenders</w:t>
            </w: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(18,953)</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(11,828)</w:t>
            </w:r>
          </w:p>
        </w:tc>
      </w:tr>
      <w:tr>
        <w:trPr>
          <w:trHeight w:val="216"/>
        </w:trPr>
        <w:tc>
          <w:tcPr>
            <w:tcW w:w="7020" w:type="dxa"/>
            <w:vAlign w:val="bottom"/>
          </w:tcPr>
          <w:p>
            <w:pPr>
              <w:ind w:left="200"/>
              <w:spacing w:after="0"/>
              <w:rPr>
                <w:sz w:val="20"/>
                <w:szCs w:val="20"/>
                <w:color w:val="auto"/>
              </w:rPr>
            </w:pPr>
            <w:r>
              <w:rPr>
                <w:rFonts w:ascii="Arial" w:cs="Arial" w:eastAsia="Arial" w:hAnsi="Arial"/>
                <w:sz w:val="14"/>
                <w:szCs w:val="14"/>
                <w:color w:val="auto"/>
              </w:rPr>
              <w:t>Net payments on the settlement of equity-based awards</w:t>
            </w: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(5,200)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(6,842)</w:t>
            </w:r>
          </w:p>
        </w:tc>
      </w:tr>
      <w:tr>
        <w:trPr>
          <w:trHeight w:val="216"/>
        </w:trPr>
        <w:tc>
          <w:tcPr>
            <w:tcW w:w="7020" w:type="dxa"/>
            <w:vAlign w:val="bottom"/>
          </w:tcPr>
          <w:p>
            <w:pPr>
              <w:ind w:left="200"/>
              <w:spacing w:after="0"/>
              <w:rPr>
                <w:sz w:val="20"/>
                <w:szCs w:val="20"/>
                <w:color w:val="auto"/>
              </w:rPr>
            </w:pPr>
            <w:r>
              <w:rPr>
                <w:rFonts w:ascii="Arial" w:cs="Arial" w:eastAsia="Arial" w:hAnsi="Arial"/>
                <w:sz w:val="14"/>
                <w:szCs w:val="14"/>
                <w:color w:val="auto"/>
              </w:rPr>
              <w:t>Other financing activities</w:t>
            </w: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(2,199)</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(2,114)</w:t>
            </w:r>
          </w:p>
        </w:tc>
      </w:tr>
      <w:tr>
        <w:trPr>
          <w:trHeight w:val="222"/>
        </w:trPr>
        <w:tc>
          <w:tcPr>
            <w:tcW w:w="702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12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9"/>
                <w:szCs w:val="19"/>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(32,146)</w:t>
            </w:r>
          </w:p>
        </w:tc>
      </w:tr>
      <w:tr>
        <w:trPr>
          <w:trHeight w:val="203"/>
        </w:trPr>
        <w:tc>
          <w:tcPr>
            <w:tcW w:w="7020" w:type="dxa"/>
            <w:vAlign w:val="bottom"/>
          </w:tcPr>
          <w:p>
            <w:pPr>
              <w:ind w:left="640"/>
              <w:spacing w:after="0"/>
              <w:rPr>
                <w:sz w:val="20"/>
                <w:szCs w:val="20"/>
                <w:color w:val="auto"/>
              </w:rPr>
            </w:pPr>
            <w:r>
              <w:rPr>
                <w:rFonts w:ascii="Arial" w:cs="Arial" w:eastAsia="Arial" w:hAnsi="Arial"/>
                <w:sz w:val="14"/>
                <w:szCs w:val="14"/>
                <w:color w:val="auto"/>
              </w:rPr>
              <w:t>Cash provided by (used in) financing activities</w:t>
            </w:r>
          </w:p>
        </w:tc>
        <w:tc>
          <w:tcPr>
            <w:tcW w:w="1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238,146</w:t>
            </w: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(164,314)</w:t>
            </w:r>
          </w:p>
        </w:tc>
      </w:tr>
      <w:tr>
        <w:trPr>
          <w:trHeight w:val="216"/>
        </w:trPr>
        <w:tc>
          <w:tcPr>
            <w:tcW w:w="7020" w:type="dxa"/>
            <w:vAlign w:val="bottom"/>
          </w:tcPr>
          <w:p>
            <w:pPr>
              <w:spacing w:after="0"/>
              <w:rPr>
                <w:sz w:val="20"/>
                <w:szCs w:val="20"/>
                <w:color w:val="auto"/>
              </w:rPr>
            </w:pPr>
            <w:r>
              <w:rPr>
                <w:rFonts w:ascii="Arial" w:cs="Arial" w:eastAsia="Arial" w:hAnsi="Arial"/>
                <w:sz w:val="14"/>
                <w:szCs w:val="14"/>
                <w:b w:val="1"/>
                <w:bCs w:val="1"/>
                <w:color w:val="auto"/>
              </w:rPr>
              <w:t>Cash Flows from Discontinued Operations</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2"/>
        </w:trPr>
        <w:tc>
          <w:tcPr>
            <w:tcW w:w="7020" w:type="dxa"/>
            <w:vAlign w:val="bottom"/>
          </w:tcPr>
          <w:p>
            <w:pPr>
              <w:ind w:left="200"/>
              <w:spacing w:after="0"/>
              <w:rPr>
                <w:sz w:val="20"/>
                <w:szCs w:val="20"/>
                <w:color w:val="auto"/>
              </w:rPr>
            </w:pPr>
            <w:r>
              <w:rPr>
                <w:rFonts w:ascii="Arial" w:cs="Arial" w:eastAsia="Arial" w:hAnsi="Arial"/>
                <w:sz w:val="14"/>
                <w:szCs w:val="14"/>
                <w:color w:val="auto"/>
              </w:rPr>
              <w:t>Cash used in operating activities</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w:t>
            </w:r>
          </w:p>
        </w:tc>
      </w:tr>
      <w:tr>
        <w:trPr>
          <w:trHeight w:val="204"/>
        </w:trPr>
        <w:tc>
          <w:tcPr>
            <w:tcW w:w="7020" w:type="dxa"/>
            <w:vAlign w:val="bottom"/>
          </w:tcPr>
          <w:p>
            <w:pPr>
              <w:ind w:left="640"/>
              <w:spacing w:after="0"/>
              <w:rPr>
                <w:sz w:val="20"/>
                <w:szCs w:val="20"/>
                <w:color w:val="auto"/>
              </w:rPr>
            </w:pPr>
            <w:r>
              <w:rPr>
                <w:rFonts w:ascii="Arial" w:cs="Arial" w:eastAsia="Arial" w:hAnsi="Arial"/>
                <w:sz w:val="14"/>
                <w:szCs w:val="14"/>
                <w:color w:val="auto"/>
              </w:rPr>
              <w:t>Cash used in discontinued operations</w:t>
            </w:r>
          </w:p>
        </w:tc>
        <w:tc>
          <w:tcPr>
            <w:tcW w:w="12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(48)</w:t>
            </w:r>
          </w:p>
        </w:tc>
      </w:tr>
      <w:tr>
        <w:trPr>
          <w:trHeight w:val="216"/>
        </w:trPr>
        <w:tc>
          <w:tcPr>
            <w:tcW w:w="70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3,566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448</w:t>
            </w:r>
          </w:p>
        </w:tc>
      </w:tr>
      <w:tr>
        <w:trPr>
          <w:trHeight w:val="216"/>
        </w:trPr>
        <w:tc>
          <w:tcPr>
            <w:tcW w:w="702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1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248,296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(49,778)</w:t>
            </w:r>
          </w:p>
        </w:tc>
      </w:tr>
      <w:tr>
        <w:trPr>
          <w:trHeight w:val="222"/>
        </w:trPr>
        <w:tc>
          <w:tcPr>
            <w:tcW w:w="702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436,176</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509,265</w:t>
            </w:r>
          </w:p>
        </w:tc>
      </w:tr>
      <w:tr>
        <w:trPr>
          <w:trHeight w:val="216"/>
        </w:trPr>
        <w:tc>
          <w:tcPr>
            <w:tcW w:w="702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684,472</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459,487</w:t>
            </w:r>
          </w:p>
        </w:tc>
      </w:tr>
      <w:tr>
        <w:trPr>
          <w:trHeight w:val="20"/>
        </w:trPr>
        <w:tc>
          <w:tcPr>
            <w:tcW w:w="70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20"/>
          </w:cols>
          <w:pgMar w:left="340" w:top="886"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Tabular Reconciliations for Non-GAAP Measures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(In thousands, except per share amounts; unaudited)</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Reconciliation of Net (Loss) Income attributable to common stockholders to Adjusted Net (Loss) Income, Adjusted EBITDA and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Operating (Loss) Income:</w:t>
      </w:r>
    </w:p>
    <w:p>
      <w:pPr>
        <w:spacing w:after="0" w:line="374" w:lineRule="exact"/>
        <w:rPr>
          <w:sz w:val="20"/>
          <w:szCs w:val="20"/>
          <w:color w:val="auto"/>
        </w:rPr>
      </w:pPr>
    </w:p>
    <w:tbl>
      <w:tblPr>
        <w:tblLayout w:type="fixed"/>
        <w:tblInd w:w="30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32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17"/>
                <w:szCs w:val="17"/>
                <w:color w:val="auto"/>
              </w:rPr>
            </w:pPr>
          </w:p>
        </w:tc>
      </w:tr>
      <w:tr>
        <w:trPr>
          <w:trHeight w:val="209"/>
        </w:trPr>
        <w:tc>
          <w:tcPr>
            <w:tcW w:w="66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8"/>
                <w:szCs w:val="18"/>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6"/>
                <w:szCs w:val="16"/>
                <w:color w:val="auto"/>
              </w:rPr>
              <w:t>Net (loss) income attributable to common stockholders</w:t>
            </w:r>
          </w:p>
        </w:tc>
        <w:tc>
          <w:tcPr>
            <w:tcW w:w="1140" w:type="dxa"/>
            <w:vAlign w:val="bottom"/>
          </w:tcPr>
          <w:p>
            <w:pPr>
              <w:jc w:val="right"/>
              <w:ind w:right="9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(212,680)</w:t>
            </w:r>
          </w:p>
        </w:tc>
        <w:tc>
          <w:tcPr>
            <w:tcW w:w="120" w:type="dxa"/>
            <w:vAlign w:val="bottom"/>
          </w:tcPr>
          <w:p>
            <w:pPr>
              <w:spacing w:after="0"/>
              <w:rPr>
                <w:sz w:val="19"/>
                <w:szCs w:val="19"/>
                <w:color w:val="auto"/>
              </w:rPr>
            </w:pPr>
          </w:p>
        </w:tc>
        <w:tc>
          <w:tcPr>
            <w:tcW w:w="1160" w:type="dxa"/>
            <w:vAlign w:val="bottom"/>
          </w:tcPr>
          <w:p>
            <w:pPr>
              <w:jc w:val="right"/>
              <w:ind w:right="9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56,850</w:t>
            </w:r>
          </w:p>
        </w:tc>
      </w:tr>
      <w:tr>
        <w:trPr>
          <w:trHeight w:val="243"/>
        </w:trPr>
        <w:tc>
          <w:tcPr>
            <w:tcW w:w="6660" w:type="dxa"/>
            <w:vAlign w:val="bottom"/>
          </w:tcPr>
          <w:p>
            <w:pPr>
              <w:ind w:left="200"/>
              <w:spacing w:after="0"/>
              <w:rPr>
                <w:sz w:val="20"/>
                <w:szCs w:val="20"/>
                <w:color w:val="auto"/>
              </w:rPr>
            </w:pPr>
            <w:r>
              <w:rPr>
                <w:rFonts w:ascii="Arial" w:cs="Arial" w:eastAsia="Arial" w:hAnsi="Arial"/>
                <w:sz w:val="16"/>
                <w:szCs w:val="16"/>
                <w:color w:val="auto"/>
              </w:rPr>
              <w:t>Loss from discontinued operations, net of tax</w:t>
            </w:r>
          </w:p>
        </w:tc>
        <w:tc>
          <w:tcPr>
            <w:tcW w:w="11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2,126</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1,452</w:t>
            </w:r>
          </w:p>
        </w:tc>
      </w:tr>
      <w:tr>
        <w:trPr>
          <w:trHeight w:val="262"/>
        </w:trPr>
        <w:tc>
          <w:tcPr>
            <w:tcW w:w="6660" w:type="dxa"/>
            <w:vAlign w:val="bottom"/>
          </w:tcPr>
          <w:p>
            <w:pPr>
              <w:ind w:left="220"/>
              <w:spacing w:after="0"/>
              <w:rPr>
                <w:sz w:val="20"/>
                <w:szCs w:val="20"/>
                <w:color w:val="auto"/>
              </w:rPr>
            </w:pPr>
            <w:r>
              <w:rPr>
                <w:rFonts w:ascii="Arial" w:cs="Arial" w:eastAsia="Arial" w:hAnsi="Arial"/>
                <w:sz w:val="16"/>
                <w:szCs w:val="16"/>
                <w:color w:val="auto"/>
              </w:rPr>
              <w:t>Net income attributable to non-controlling interests</w:t>
            </w:r>
            <w:r>
              <w:rPr>
                <w:rFonts w:ascii="Arial" w:cs="Arial" w:eastAsia="Arial" w:hAnsi="Arial"/>
                <w:sz w:val="21"/>
                <w:szCs w:val="21"/>
                <w:color w:val="auto"/>
                <w:vertAlign w:val="superscript"/>
              </w:rPr>
              <w:t>(1)</w:t>
            </w:r>
          </w:p>
        </w:tc>
        <w:tc>
          <w:tcPr>
            <w:tcW w:w="1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912</w:t>
            </w:r>
          </w:p>
        </w:tc>
      </w:tr>
      <w:tr>
        <w:trPr>
          <w:trHeight w:val="217"/>
        </w:trPr>
        <w:tc>
          <w:tcPr>
            <w:tcW w:w="6660" w:type="dxa"/>
            <w:vAlign w:val="bottom"/>
          </w:tcPr>
          <w:p>
            <w:pPr>
              <w:spacing w:after="0"/>
              <w:rPr>
                <w:sz w:val="20"/>
                <w:szCs w:val="20"/>
                <w:color w:val="auto"/>
              </w:rPr>
            </w:pPr>
            <w:r>
              <w:rPr>
                <w:rFonts w:ascii="Arial" w:cs="Arial" w:eastAsia="Arial" w:hAnsi="Arial"/>
                <w:sz w:val="16"/>
                <w:szCs w:val="16"/>
                <w:color w:val="auto"/>
              </w:rPr>
              <w:t>(Loss) Income from continuing operations</w:t>
            </w:r>
          </w:p>
        </w:tc>
        <w:tc>
          <w:tcPr>
            <w:tcW w:w="1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(209,771)</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59,214</w:t>
            </w:r>
          </w:p>
        </w:tc>
      </w:tr>
      <w:tr>
        <w:trPr>
          <w:trHeight w:val="243"/>
        </w:trPr>
        <w:tc>
          <w:tcPr>
            <w:tcW w:w="6660" w:type="dxa"/>
            <w:vAlign w:val="bottom"/>
          </w:tcPr>
          <w:p>
            <w:pPr>
              <w:spacing w:after="0"/>
              <w:rPr>
                <w:sz w:val="20"/>
                <w:szCs w:val="20"/>
                <w:color w:val="auto"/>
              </w:rPr>
            </w:pPr>
            <w:r>
              <w:rPr>
                <w:rFonts w:ascii="Arial" w:cs="Arial" w:eastAsia="Arial" w:hAnsi="Arial"/>
                <w:sz w:val="16"/>
                <w:szCs w:val="16"/>
                <w:color w:val="auto"/>
              </w:rPr>
              <w:t>Adjustments:</w:t>
            </w: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80"/>
        </w:trPr>
        <w:tc>
          <w:tcPr>
            <w:tcW w:w="6660" w:type="dxa"/>
            <w:vAlign w:val="bottom"/>
          </w:tcPr>
          <w:p>
            <w:pPr>
              <w:ind w:left="220"/>
              <w:spacing w:after="0"/>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114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16,801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15,984</w:t>
            </w:r>
          </w:p>
        </w:tc>
      </w:tr>
      <w:tr>
        <w:trPr>
          <w:trHeight w:val="266"/>
        </w:trPr>
        <w:tc>
          <w:tcPr>
            <w:tcW w:w="6660" w:type="dxa"/>
            <w:vAlign w:val="bottom"/>
          </w:tcPr>
          <w:p>
            <w:pPr>
              <w:ind w:left="220"/>
              <w:spacing w:after="0"/>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(8)</w:t>
            </w:r>
          </w:p>
        </w:tc>
        <w:tc>
          <w:tcPr>
            <w:tcW w:w="114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25,281</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6660" w:type="dxa"/>
            <w:vAlign w:val="bottom"/>
          </w:tcPr>
          <w:p>
            <w:pPr>
              <w:ind w:left="220"/>
              <w:spacing w:after="0"/>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(4)</w:t>
            </w:r>
          </w:p>
        </w:tc>
        <w:tc>
          <w:tcPr>
            <w:tcW w:w="11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47,486</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1,870</w:t>
            </w:r>
          </w:p>
        </w:tc>
      </w:tr>
      <w:tr>
        <w:trPr>
          <w:trHeight w:val="243"/>
        </w:trPr>
        <w:tc>
          <w:tcPr>
            <w:tcW w:w="6660" w:type="dxa"/>
            <w:vAlign w:val="bottom"/>
          </w:tcPr>
          <w:p>
            <w:pPr>
              <w:ind w:left="2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11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17,827</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11,706</w:t>
            </w:r>
          </w:p>
        </w:tc>
      </w:tr>
      <w:tr>
        <w:trPr>
          <w:trHeight w:val="246"/>
        </w:trPr>
        <w:tc>
          <w:tcPr>
            <w:tcW w:w="6660" w:type="dxa"/>
            <w:vAlign w:val="bottom"/>
          </w:tcPr>
          <w:p>
            <w:pPr>
              <w:ind w:left="22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(5)</w:t>
            </w:r>
          </w:p>
        </w:tc>
        <w:tc>
          <w:tcPr>
            <w:tcW w:w="11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1,438</w:t>
            </w:r>
          </w:p>
        </w:tc>
      </w:tr>
      <w:tr>
        <w:trPr>
          <w:trHeight w:val="195"/>
        </w:trPr>
        <w:tc>
          <w:tcPr>
            <w:tcW w:w="666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140" w:type="dxa"/>
            <w:vAlign w:val="bottom"/>
          </w:tcPr>
          <w:p>
            <w:pPr>
              <w:spacing w:after="0"/>
              <w:rPr>
                <w:sz w:val="16"/>
                <w:szCs w:val="16"/>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17,577</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15,694</w:t>
            </w:r>
          </w:p>
        </w:tc>
      </w:tr>
      <w:tr>
        <w:trPr>
          <w:trHeight w:val="263"/>
        </w:trPr>
        <w:tc>
          <w:tcPr>
            <w:tcW w:w="6660" w:type="dxa"/>
            <w:vAlign w:val="bottom"/>
          </w:tcPr>
          <w:p>
            <w:pPr>
              <w:ind w:left="2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(7)</w:t>
            </w:r>
          </w:p>
        </w:tc>
        <w:tc>
          <w:tcPr>
            <w:tcW w:w="1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3,082</w:t>
            </w:r>
          </w:p>
        </w:tc>
        <w:tc>
          <w:tcPr>
            <w:tcW w:w="12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(11,707)</w:t>
            </w:r>
          </w:p>
        </w:tc>
      </w:tr>
      <w:tr>
        <w:trPr>
          <w:trHeight w:val="237"/>
        </w:trPr>
        <w:tc>
          <w:tcPr>
            <w:tcW w:w="6660" w:type="dxa"/>
            <w:vAlign w:val="bottom"/>
          </w:tcPr>
          <w:p>
            <w:pPr>
              <w:spacing w:after="0"/>
              <w:rPr>
                <w:sz w:val="20"/>
                <w:szCs w:val="20"/>
                <w:color w:val="auto"/>
              </w:rPr>
            </w:pPr>
            <w:r>
              <w:rPr>
                <w:rFonts w:ascii="Arial" w:cs="Arial" w:eastAsia="Arial" w:hAnsi="Arial"/>
                <w:sz w:val="16"/>
                <w:szCs w:val="16"/>
                <w:color w:val="auto"/>
              </w:rPr>
              <w:t>Adjusted Net (Loss) Income from continuing operations</w:t>
            </w:r>
          </w:p>
        </w:tc>
        <w:tc>
          <w:tcPr>
            <w:tcW w:w="1140" w:type="dxa"/>
            <w:vAlign w:val="bottom"/>
            <w:tcBorders>
              <w:bottom w:val="single" w:sz="8" w:color="auto"/>
            </w:tcBorders>
          </w:tcPr>
          <w:p>
            <w:pPr>
              <w:jc w:val="right"/>
              <w:ind w:right="9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(79,976)</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98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94,199</w:t>
            </w:r>
          </w:p>
        </w:tc>
      </w:tr>
      <w:tr>
        <w:trPr>
          <w:trHeight w:val="20"/>
        </w:trPr>
        <w:tc>
          <w:tcPr>
            <w:tcW w:w="6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7"/>
        </w:trPr>
        <w:tc>
          <w:tcPr>
            <w:tcW w:w="6660" w:type="dxa"/>
            <w:vAlign w:val="bottom"/>
          </w:tcPr>
          <w:p>
            <w:pPr>
              <w:spacing w:after="0"/>
              <w:rPr>
                <w:sz w:val="20"/>
                <w:szCs w:val="20"/>
                <w:color w:val="auto"/>
              </w:rPr>
            </w:pPr>
            <w:r>
              <w:rPr>
                <w:rFonts w:ascii="Arial" w:cs="Arial" w:eastAsia="Arial" w:hAnsi="Arial"/>
                <w:sz w:val="16"/>
                <w:szCs w:val="16"/>
                <w:color w:val="auto"/>
              </w:rPr>
              <w:t>Adjusted Net (Loss) Income from continuing operations per share</w:t>
            </w:r>
          </w:p>
        </w:tc>
        <w:tc>
          <w:tcPr>
            <w:tcW w:w="1140" w:type="dxa"/>
            <w:vAlign w:val="bottom"/>
          </w:tcPr>
          <w:p>
            <w:pPr>
              <w:jc w:val="right"/>
              <w:ind w:right="9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(0.29)</w:t>
            </w:r>
          </w:p>
        </w:tc>
        <w:tc>
          <w:tcPr>
            <w:tcW w:w="120" w:type="dxa"/>
            <w:vAlign w:val="bottom"/>
          </w:tcPr>
          <w:p>
            <w:pPr>
              <w:spacing w:after="0"/>
              <w:rPr>
                <w:sz w:val="18"/>
                <w:szCs w:val="18"/>
                <w:color w:val="auto"/>
              </w:rPr>
            </w:pPr>
          </w:p>
        </w:tc>
        <w:tc>
          <w:tcPr>
            <w:tcW w:w="1160" w:type="dxa"/>
            <w:vAlign w:val="bottom"/>
          </w:tcPr>
          <w:p>
            <w:pPr>
              <w:jc w:val="right"/>
              <w:ind w:right="9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0.34</w:t>
            </w:r>
          </w:p>
        </w:tc>
      </w:tr>
      <w:tr>
        <w:trPr>
          <w:trHeight w:val="243"/>
        </w:trPr>
        <w:tc>
          <w:tcPr>
            <w:tcW w:w="6660" w:type="dxa"/>
            <w:vAlign w:val="bottom"/>
          </w:tcPr>
          <w:p>
            <w:pPr>
              <w:spacing w:after="0"/>
              <w:rPr>
                <w:sz w:val="20"/>
                <w:szCs w:val="20"/>
                <w:color w:val="auto"/>
              </w:rPr>
            </w:pPr>
            <w:r>
              <w:rPr>
                <w:rFonts w:ascii="Arial" w:cs="Arial" w:eastAsia="Arial" w:hAnsi="Arial"/>
                <w:sz w:val="16"/>
                <w:szCs w:val="16"/>
                <w:color w:val="auto"/>
              </w:rPr>
              <w:t>Diluted weighted-average common shares outstanding</w:t>
            </w:r>
          </w:p>
        </w:tc>
        <w:tc>
          <w:tcPr>
            <w:tcW w:w="11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274,037</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277,605</w:t>
            </w:r>
          </w:p>
        </w:tc>
      </w:tr>
      <w:tr>
        <w:trPr>
          <w:trHeight w:val="459"/>
        </w:trPr>
        <w:tc>
          <w:tcPr>
            <w:tcW w:w="6660" w:type="dxa"/>
            <w:vAlign w:val="bottom"/>
          </w:tcPr>
          <w:p>
            <w:pPr>
              <w:spacing w:after="0"/>
              <w:rPr>
                <w:sz w:val="20"/>
                <w:szCs w:val="20"/>
                <w:color w:val="auto"/>
              </w:rPr>
            </w:pPr>
            <w:r>
              <w:rPr>
                <w:rFonts w:ascii="Arial" w:cs="Arial" w:eastAsia="Arial" w:hAnsi="Arial"/>
                <w:sz w:val="16"/>
                <w:szCs w:val="16"/>
                <w:color w:val="auto"/>
              </w:rPr>
              <w:t>Adjusted Net (Loss) Income from continuing operations</w:t>
            </w:r>
          </w:p>
        </w:tc>
        <w:tc>
          <w:tcPr>
            <w:tcW w:w="1140" w:type="dxa"/>
            <w:vAlign w:val="bottom"/>
          </w:tcPr>
          <w:p>
            <w:pPr>
              <w:jc w:val="right"/>
              <w:ind w:right="9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(79,976)</w:t>
            </w:r>
          </w:p>
        </w:tc>
        <w:tc>
          <w:tcPr>
            <w:tcW w:w="120" w:type="dxa"/>
            <w:vAlign w:val="bottom"/>
          </w:tcPr>
          <w:p>
            <w:pPr>
              <w:spacing w:after="0"/>
              <w:rPr>
                <w:sz w:val="24"/>
                <w:szCs w:val="24"/>
                <w:color w:val="auto"/>
              </w:rPr>
            </w:pPr>
          </w:p>
        </w:tc>
        <w:tc>
          <w:tcPr>
            <w:tcW w:w="1160" w:type="dxa"/>
            <w:vAlign w:val="bottom"/>
          </w:tcPr>
          <w:p>
            <w:pPr>
              <w:jc w:val="right"/>
              <w:ind w:right="9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94,199</w:t>
            </w:r>
          </w:p>
        </w:tc>
      </w:tr>
      <w:tr>
        <w:trPr>
          <w:trHeight w:val="243"/>
        </w:trPr>
        <w:tc>
          <w:tcPr>
            <w:tcW w:w="6660" w:type="dxa"/>
            <w:vAlign w:val="bottom"/>
          </w:tcPr>
          <w:p>
            <w:pPr>
              <w:spacing w:after="0"/>
              <w:rPr>
                <w:sz w:val="20"/>
                <w:szCs w:val="20"/>
                <w:color w:val="auto"/>
              </w:rPr>
            </w:pPr>
            <w:r>
              <w:rPr>
                <w:rFonts w:ascii="Arial" w:cs="Arial" w:eastAsia="Arial" w:hAnsi="Arial"/>
                <w:sz w:val="16"/>
                <w:szCs w:val="16"/>
                <w:color w:val="auto"/>
              </w:rPr>
              <w:t>Adjustments:</w:t>
            </w: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89"/>
        </w:trPr>
        <w:tc>
          <w:tcPr>
            <w:tcW w:w="6660" w:type="dxa"/>
            <w:vAlign w:val="bottom"/>
          </w:tcPr>
          <w:p>
            <w:pPr>
              <w:ind w:left="220"/>
              <w:spacing w:after="0"/>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(2b)</w:t>
            </w:r>
          </w:p>
        </w:tc>
        <w:tc>
          <w:tcPr>
            <w:tcW w:w="114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69,513</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75,348</w:t>
            </w:r>
          </w:p>
        </w:tc>
      </w:tr>
      <w:tr>
        <w:trPr>
          <w:trHeight w:val="243"/>
        </w:trPr>
        <w:tc>
          <w:tcPr>
            <w:tcW w:w="6660" w:type="dxa"/>
            <w:vAlign w:val="bottom"/>
          </w:tcPr>
          <w:p>
            <w:pPr>
              <w:ind w:left="220"/>
              <w:spacing w:after="0"/>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(2c)</w:t>
            </w:r>
          </w:p>
        </w:tc>
        <w:tc>
          <w:tcPr>
            <w:tcW w:w="11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9,547</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12,111</w:t>
            </w:r>
          </w:p>
        </w:tc>
      </w:tr>
      <w:tr>
        <w:trPr>
          <w:trHeight w:val="246"/>
        </w:trPr>
        <w:tc>
          <w:tcPr>
            <w:tcW w:w="6660" w:type="dxa"/>
            <w:vAlign w:val="bottom"/>
          </w:tcPr>
          <w:p>
            <w:pPr>
              <w:ind w:left="22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1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18,213</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19,128</w:t>
            </w:r>
          </w:p>
        </w:tc>
      </w:tr>
      <w:tr>
        <w:trPr>
          <w:trHeight w:val="195"/>
        </w:trPr>
        <w:tc>
          <w:tcPr>
            <w:tcW w:w="666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1140" w:type="dxa"/>
            <w:vAlign w:val="bottom"/>
          </w:tcPr>
          <w:p>
            <w:pPr>
              <w:spacing w:after="0"/>
              <w:rPr>
                <w:sz w:val="16"/>
                <w:szCs w:val="16"/>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37,442</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38,013</w:t>
            </w:r>
          </w:p>
        </w:tc>
      </w:tr>
      <w:tr>
        <w:trPr>
          <w:trHeight w:val="256"/>
        </w:trPr>
        <w:tc>
          <w:tcPr>
            <w:tcW w:w="6660" w:type="dxa"/>
            <w:vAlign w:val="bottom"/>
          </w:tcPr>
          <w:p>
            <w:pPr>
              <w:ind w:left="200"/>
              <w:spacing w:after="0"/>
              <w:rPr>
                <w:sz w:val="20"/>
                <w:szCs w:val="20"/>
                <w:color w:val="auto"/>
              </w:rPr>
            </w:pPr>
            <w:r>
              <w:rPr>
                <w:rFonts w:ascii="Arial" w:cs="Arial" w:eastAsia="Arial" w:hAnsi="Arial"/>
                <w:sz w:val="16"/>
                <w:szCs w:val="16"/>
                <w:color w:val="auto"/>
              </w:rPr>
              <w:t>Remaining provision for income taxes</w:t>
            </w:r>
          </w:p>
        </w:tc>
        <w:tc>
          <w:tcPr>
            <w:tcW w:w="1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(30,336)</w:t>
            </w:r>
          </w:p>
        </w:tc>
        <w:tc>
          <w:tcPr>
            <w:tcW w:w="12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23,550</w:t>
            </w:r>
          </w:p>
        </w:tc>
      </w:tr>
      <w:tr>
        <w:trPr>
          <w:trHeight w:val="237"/>
        </w:trPr>
        <w:tc>
          <w:tcPr>
            <w:tcW w:w="6660" w:type="dxa"/>
            <w:vAlign w:val="bottom"/>
          </w:tcPr>
          <w:p>
            <w:pPr>
              <w:spacing w:after="0"/>
              <w:rPr>
                <w:sz w:val="20"/>
                <w:szCs w:val="20"/>
                <w:color w:val="auto"/>
              </w:rPr>
            </w:pPr>
            <w:r>
              <w:rPr>
                <w:rFonts w:ascii="Arial" w:cs="Arial" w:eastAsia="Arial" w:hAnsi="Arial"/>
                <w:sz w:val="16"/>
                <w:szCs w:val="16"/>
                <w:color w:val="auto"/>
              </w:rPr>
              <w:t>Adjusted EBITDA</w:t>
            </w:r>
          </w:p>
        </w:tc>
        <w:tc>
          <w:tcPr>
            <w:tcW w:w="1140" w:type="dxa"/>
            <w:vAlign w:val="bottom"/>
            <w:tcBorders>
              <w:bottom w:val="single" w:sz="8" w:color="auto"/>
            </w:tcBorders>
          </w:tcPr>
          <w:p>
            <w:pPr>
              <w:jc w:val="right"/>
              <w:ind w:right="9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24,403</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98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262,349</w:t>
            </w:r>
          </w:p>
        </w:tc>
      </w:tr>
      <w:tr>
        <w:trPr>
          <w:trHeight w:val="210"/>
        </w:trPr>
        <w:tc>
          <w:tcPr>
            <w:tcW w:w="6660" w:type="dxa"/>
            <w:vAlign w:val="bottom"/>
          </w:tcPr>
          <w:p>
            <w:pPr>
              <w:spacing w:after="0"/>
              <w:rPr>
                <w:sz w:val="20"/>
                <w:szCs w:val="20"/>
                <w:color w:val="auto"/>
              </w:rPr>
            </w:pPr>
            <w:r>
              <w:rPr>
                <w:rFonts w:ascii="Arial" w:cs="Arial" w:eastAsia="Arial" w:hAnsi="Arial"/>
                <w:sz w:val="16"/>
                <w:szCs w:val="16"/>
                <w:color w:val="auto"/>
              </w:rPr>
              <w:t>Less:</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91"/>
        </w:trPr>
        <w:tc>
          <w:tcPr>
            <w:tcW w:w="6660" w:type="dxa"/>
            <w:vAlign w:val="bottom"/>
          </w:tcPr>
          <w:p>
            <w:pPr>
              <w:ind w:left="2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14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95,861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103,443</w:t>
            </w:r>
          </w:p>
        </w:tc>
      </w:tr>
      <w:tr>
        <w:trPr>
          <w:trHeight w:val="243"/>
        </w:trPr>
        <w:tc>
          <w:tcPr>
            <w:tcW w:w="6660" w:type="dxa"/>
            <w:vAlign w:val="bottom"/>
          </w:tcPr>
          <w:p>
            <w:pPr>
              <w:ind w:left="22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1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18,213</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19,128</w:t>
            </w:r>
          </w:p>
        </w:tc>
      </w:tr>
      <w:tr>
        <w:trPr>
          <w:trHeight w:val="214"/>
        </w:trPr>
        <w:tc>
          <w:tcPr>
            <w:tcW w:w="6660" w:type="dxa"/>
            <w:vAlign w:val="bottom"/>
          </w:tcPr>
          <w:p>
            <w:pPr>
              <w:ind w:left="220"/>
              <w:spacing w:after="0" w:line="214"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1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(16,801)</w:t>
            </w:r>
          </w:p>
        </w:tc>
        <w:tc>
          <w:tcPr>
            <w:tcW w:w="1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(15,984)</w:t>
            </w:r>
          </w:p>
        </w:tc>
      </w:tr>
      <w:tr>
        <w:trPr>
          <w:trHeight w:val="237"/>
        </w:trPr>
        <w:tc>
          <w:tcPr>
            <w:tcW w:w="6660" w:type="dxa"/>
            <w:vAlign w:val="bottom"/>
          </w:tcPr>
          <w:p>
            <w:pPr>
              <w:spacing w:after="0"/>
              <w:rPr>
                <w:sz w:val="20"/>
                <w:szCs w:val="20"/>
                <w:color w:val="auto"/>
              </w:rPr>
            </w:pPr>
            <w:r>
              <w:rPr>
                <w:rFonts w:ascii="Arial" w:cs="Arial" w:eastAsia="Arial" w:hAnsi="Arial"/>
                <w:sz w:val="16"/>
                <w:szCs w:val="16"/>
                <w:color w:val="auto"/>
              </w:rPr>
              <w:t>Adjusted Operating (Loss) Income</w:t>
            </w:r>
          </w:p>
        </w:tc>
        <w:tc>
          <w:tcPr>
            <w:tcW w:w="1140" w:type="dxa"/>
            <w:vAlign w:val="bottom"/>
            <w:tcBorders>
              <w:bottom w:val="single" w:sz="8" w:color="auto"/>
            </w:tcBorders>
          </w:tcPr>
          <w:p>
            <w:pPr>
              <w:jc w:val="right"/>
              <w:ind w:right="9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(72,870)</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98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155,762</w:t>
            </w:r>
          </w:p>
        </w:tc>
      </w:tr>
      <w:tr>
        <w:trPr>
          <w:trHeight w:val="20"/>
        </w:trPr>
        <w:tc>
          <w:tcPr>
            <w:tcW w:w="6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787"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i w:val="1"/>
          <w:iCs w:val="1"/>
          <w:color w:val="auto"/>
        </w:rPr>
        <w:t>Reconciliation of Free Cash Flow:</w:t>
      </w:r>
    </w:p>
    <w:p>
      <w:pPr>
        <w:spacing w:after="0" w:line="374" w:lineRule="exact"/>
        <w:rPr>
          <w:sz w:val="20"/>
          <w:szCs w:val="20"/>
          <w:color w:val="auto"/>
        </w:rPr>
      </w:pPr>
    </w:p>
    <w:tbl>
      <w:tblPr>
        <w:tblLayout w:type="fixed"/>
        <w:tblInd w:w="30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3200" w:type="dxa"/>
            <w:vAlign w:val="bottom"/>
            <w:tcBorders>
              <w:bottom w:val="single" w:sz="8" w:color="auto"/>
            </w:tcBorders>
            <w:gridSpan w:val="4"/>
          </w:tcPr>
          <w:p>
            <w:pPr>
              <w:jc w:val="right"/>
              <w:ind w:right="63"/>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17"/>
                <w:szCs w:val="17"/>
                <w:color w:val="auto"/>
              </w:rPr>
            </w:pPr>
          </w:p>
        </w:tc>
      </w:tr>
      <w:tr>
        <w:trPr>
          <w:trHeight w:val="209"/>
        </w:trPr>
        <w:tc>
          <w:tcPr>
            <w:tcW w:w="66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8"/>
                <w:szCs w:val="18"/>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6"/>
                <w:szCs w:val="16"/>
                <w:color w:val="auto"/>
              </w:rPr>
              <w:t>Cash provided by operating activities</w:t>
            </w:r>
          </w:p>
        </w:tc>
        <w:tc>
          <w:tcPr>
            <w:tcW w:w="1180" w:type="dxa"/>
            <w:vAlign w:val="bottom"/>
          </w:tcPr>
          <w:p>
            <w:pPr>
              <w:jc w:val="right"/>
              <w:ind w:right="1004"/>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40,431</w:t>
            </w:r>
          </w:p>
        </w:tc>
        <w:tc>
          <w:tcPr>
            <w:tcW w:w="120" w:type="dxa"/>
            <w:vAlign w:val="bottom"/>
          </w:tcPr>
          <w:p>
            <w:pPr>
              <w:spacing w:after="0"/>
              <w:rPr>
                <w:sz w:val="19"/>
                <w:szCs w:val="19"/>
                <w:color w:val="auto"/>
              </w:rPr>
            </w:pPr>
          </w:p>
        </w:tc>
        <w:tc>
          <w:tcPr>
            <w:tcW w:w="1140" w:type="dxa"/>
            <w:vAlign w:val="bottom"/>
          </w:tcPr>
          <w:p>
            <w:pPr>
              <w:jc w:val="right"/>
              <w:ind w:right="963"/>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152,000</w:t>
            </w:r>
          </w:p>
        </w:tc>
      </w:tr>
      <w:tr>
        <w:trPr>
          <w:trHeight w:val="243"/>
        </w:trPr>
        <w:tc>
          <w:tcPr>
            <w:tcW w:w="6660" w:type="dxa"/>
            <w:vAlign w:val="bottom"/>
          </w:tcPr>
          <w:p>
            <w:pPr>
              <w:spacing w:after="0"/>
              <w:rPr>
                <w:sz w:val="20"/>
                <w:szCs w:val="20"/>
                <w:color w:val="auto"/>
              </w:rPr>
            </w:pPr>
            <w:r>
              <w:rPr>
                <w:rFonts w:ascii="Arial" w:cs="Arial" w:eastAsia="Arial" w:hAnsi="Arial"/>
                <w:sz w:val="16"/>
                <w:szCs w:val="16"/>
                <w:color w:val="auto"/>
              </w:rPr>
              <w:t>Cash used in investing activities</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(32,850)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(37,864)</w:t>
            </w:r>
          </w:p>
        </w:tc>
      </w:tr>
      <w:tr>
        <w:trPr>
          <w:trHeight w:val="243"/>
        </w:trPr>
        <w:tc>
          <w:tcPr>
            <w:tcW w:w="6660" w:type="dxa"/>
            <w:vAlign w:val="bottom"/>
          </w:tcPr>
          <w:p>
            <w:pPr>
              <w:spacing w:after="0"/>
              <w:rPr>
                <w:sz w:val="20"/>
                <w:szCs w:val="20"/>
                <w:color w:val="auto"/>
              </w:rPr>
            </w:pPr>
            <w:r>
              <w:rPr>
                <w:rFonts w:ascii="Arial" w:cs="Arial" w:eastAsia="Arial" w:hAnsi="Arial"/>
                <w:sz w:val="16"/>
                <w:szCs w:val="16"/>
                <w:color w:val="auto"/>
              </w:rPr>
              <w:t>Cash provided by (used in) financing activities</w:t>
            </w:r>
          </w:p>
        </w:tc>
        <w:tc>
          <w:tcPr>
            <w:tcW w:w="118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238,146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9"/>
              </w:rPr>
              <w:t>(164,314)</w:t>
            </w:r>
          </w:p>
        </w:tc>
      </w:tr>
      <w:tr>
        <w:trPr>
          <w:trHeight w:val="877"/>
        </w:trPr>
        <w:tc>
          <w:tcPr>
            <w:tcW w:w="6660" w:type="dxa"/>
            <w:vAlign w:val="bottom"/>
          </w:tcPr>
          <w:p>
            <w:pPr>
              <w:spacing w:after="0"/>
              <w:rPr>
                <w:sz w:val="24"/>
                <w:szCs w:val="24"/>
                <w:color w:val="auto"/>
              </w:rPr>
            </w:pPr>
          </w:p>
        </w:tc>
        <w:tc>
          <w:tcPr>
            <w:tcW w:w="3200" w:type="dxa"/>
            <w:vAlign w:val="bottom"/>
            <w:tcBorders>
              <w:bottom w:val="single" w:sz="8" w:color="auto"/>
            </w:tcBorders>
            <w:gridSpan w:val="4"/>
          </w:tcPr>
          <w:p>
            <w:pPr>
              <w:jc w:val="right"/>
              <w:ind w:right="63"/>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24"/>
                <w:szCs w:val="24"/>
                <w:color w:val="auto"/>
              </w:rPr>
            </w:pPr>
          </w:p>
        </w:tc>
      </w:tr>
      <w:tr>
        <w:trPr>
          <w:trHeight w:val="204"/>
        </w:trPr>
        <w:tc>
          <w:tcPr>
            <w:tcW w:w="6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spacing w:after="0"/>
              <w:rPr>
                <w:sz w:val="17"/>
                <w:szCs w:val="17"/>
                <w:color w:val="auto"/>
              </w:rPr>
            </w:pPr>
          </w:p>
        </w:tc>
      </w:tr>
      <w:tr>
        <w:trPr>
          <w:trHeight w:val="26"/>
        </w:trPr>
        <w:tc>
          <w:tcPr>
            <w:tcW w:w="66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660" w:type="dxa"/>
            <w:vAlign w:val="bottom"/>
          </w:tcPr>
          <w:p>
            <w:pPr>
              <w:spacing w:after="0"/>
              <w:rPr>
                <w:sz w:val="20"/>
                <w:szCs w:val="20"/>
                <w:color w:val="auto"/>
              </w:rPr>
            </w:pPr>
            <w:r>
              <w:rPr>
                <w:rFonts w:ascii="Arial" w:cs="Arial" w:eastAsia="Arial" w:hAnsi="Arial"/>
                <w:sz w:val="16"/>
                <w:szCs w:val="16"/>
                <w:color w:val="auto"/>
              </w:rPr>
              <w:t>Cash provided by operating activities</w:t>
            </w:r>
          </w:p>
        </w:tc>
        <w:tc>
          <w:tcPr>
            <w:tcW w:w="1180" w:type="dxa"/>
            <w:vAlign w:val="bottom"/>
          </w:tcPr>
          <w:p>
            <w:pPr>
              <w:jc w:val="right"/>
              <w:ind w:right="1004"/>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40,431</w:t>
            </w:r>
          </w:p>
        </w:tc>
        <w:tc>
          <w:tcPr>
            <w:tcW w:w="120" w:type="dxa"/>
            <w:vAlign w:val="bottom"/>
          </w:tcPr>
          <w:p>
            <w:pPr>
              <w:spacing w:after="0"/>
              <w:rPr>
                <w:sz w:val="18"/>
                <w:szCs w:val="18"/>
                <w:color w:val="auto"/>
              </w:rPr>
            </w:pPr>
          </w:p>
        </w:tc>
        <w:tc>
          <w:tcPr>
            <w:tcW w:w="1140" w:type="dxa"/>
            <w:vAlign w:val="bottom"/>
          </w:tcPr>
          <w:p>
            <w:pPr>
              <w:jc w:val="right"/>
              <w:ind w:right="963"/>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152,000</w:t>
            </w:r>
          </w:p>
        </w:tc>
      </w:tr>
      <w:tr>
        <w:trPr>
          <w:trHeight w:val="256"/>
        </w:trPr>
        <w:tc>
          <w:tcPr>
            <w:tcW w:w="6660" w:type="dxa"/>
            <w:vAlign w:val="bottom"/>
          </w:tcPr>
          <w:p>
            <w:pPr>
              <w:ind w:left="200"/>
              <w:spacing w:after="0"/>
              <w:rPr>
                <w:sz w:val="20"/>
                <w:szCs w:val="20"/>
                <w:color w:val="auto"/>
              </w:rPr>
            </w:pPr>
            <w:r>
              <w:rPr>
                <w:rFonts w:ascii="Arial" w:cs="Arial" w:eastAsia="Arial" w:hAnsi="Arial"/>
                <w:sz w:val="16"/>
                <w:szCs w:val="16"/>
                <w:color w:val="auto"/>
              </w:rPr>
              <w:t>Additions to property and equipment</w:t>
            </w:r>
          </w:p>
        </w:tc>
        <w:tc>
          <w:tcPr>
            <w:tcW w:w="1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(28,437)</w:t>
            </w:r>
          </w:p>
        </w:tc>
        <w:tc>
          <w:tcPr>
            <w:tcW w:w="12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(37,864)</w:t>
            </w:r>
          </w:p>
        </w:tc>
      </w:tr>
      <w:tr>
        <w:trPr>
          <w:trHeight w:val="243"/>
        </w:trPr>
        <w:tc>
          <w:tcPr>
            <w:tcW w:w="6660" w:type="dxa"/>
            <w:vAlign w:val="bottom"/>
          </w:tcPr>
          <w:p>
            <w:pPr>
              <w:spacing w:after="0"/>
              <w:rPr>
                <w:sz w:val="20"/>
                <w:szCs w:val="20"/>
                <w:color w:val="auto"/>
              </w:rPr>
            </w:pPr>
            <w:r>
              <w:rPr>
                <w:rFonts w:ascii="Arial" w:cs="Arial" w:eastAsia="Arial" w:hAnsi="Arial"/>
                <w:sz w:val="16"/>
                <w:szCs w:val="16"/>
                <w:color w:val="auto"/>
              </w:rPr>
              <w:t>Free Cash Flow</w:t>
            </w:r>
          </w:p>
        </w:tc>
        <w:tc>
          <w:tcPr>
            <w:tcW w:w="1180" w:type="dxa"/>
            <w:vAlign w:val="bottom"/>
            <w:tcBorders>
              <w:bottom w:val="single" w:sz="8" w:color="auto"/>
            </w:tcBorders>
          </w:tcPr>
          <w:p>
            <w:pPr>
              <w:jc w:val="right"/>
              <w:ind w:right="1004"/>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11,994</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963"/>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114,136</w:t>
            </w:r>
          </w:p>
        </w:tc>
      </w:tr>
      <w:tr>
        <w:trPr>
          <w:trHeight w:val="20"/>
        </w:trPr>
        <w:tc>
          <w:tcPr>
            <w:tcW w:w="6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791"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i w:val="1"/>
          <w:iCs w:val="1"/>
          <w:color w:val="auto"/>
        </w:rPr>
        <w:t>Reconciliation of Net (Loss) Income to LTM Adjusted EBITDA (for Net Debt Ratio):</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 30, 2019</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 30, 2019</w:t>
            </w: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 31, 2019</w:t>
            </w:r>
          </w:p>
        </w:tc>
        <w:tc>
          <w:tcPr>
            <w:tcW w:w="16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 31, 2020</w:t>
            </w:r>
          </w:p>
        </w:tc>
        <w:tc>
          <w:tcPr>
            <w:tcW w:w="12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Arial" w:cs="Arial" w:eastAsia="Arial" w:hAnsi="Arial"/>
                <w:sz w:val="14"/>
                <w:szCs w:val="14"/>
                <w:b w:val="1"/>
                <w:bCs w:val="1"/>
                <w:color w:val="auto"/>
              </w:rPr>
              <w:t>LTM</w:t>
            </w:r>
          </w:p>
        </w:tc>
      </w:tr>
      <w:tr>
        <w:trPr>
          <w:trHeight w:val="223"/>
        </w:trPr>
        <w:tc>
          <w:tcPr>
            <w:tcW w:w="4700" w:type="dxa"/>
            <w:vAlign w:val="bottom"/>
          </w:tcPr>
          <w:p>
            <w:pPr>
              <w:spacing w:after="0"/>
              <w:rPr>
                <w:sz w:val="20"/>
                <w:szCs w:val="20"/>
                <w:color w:val="auto"/>
              </w:rPr>
            </w:pPr>
            <w:r>
              <w:rPr>
                <w:rFonts w:ascii="Arial" w:cs="Arial" w:eastAsia="Arial" w:hAnsi="Arial"/>
                <w:sz w:val="16"/>
                <w:szCs w:val="16"/>
                <w:color w:val="auto"/>
              </w:rPr>
              <w:t>Net (loss) income attributable to common stockholders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27,838</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63,813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10,091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(212,680)</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(110,938)</w:t>
            </w:r>
          </w:p>
        </w:tc>
      </w:tr>
      <w:tr>
        <w:trPr>
          <w:trHeight w:val="243"/>
        </w:trPr>
        <w:tc>
          <w:tcPr>
            <w:tcW w:w="4700" w:type="dxa"/>
            <w:vAlign w:val="bottom"/>
          </w:tcPr>
          <w:p>
            <w:pPr>
              <w:ind w:left="100"/>
              <w:spacing w:after="0"/>
              <w:rPr>
                <w:sz w:val="20"/>
                <w:szCs w:val="20"/>
                <w:color w:val="auto"/>
              </w:rPr>
            </w:pPr>
            <w:r>
              <w:rPr>
                <w:rFonts w:ascii="Arial" w:cs="Arial" w:eastAsia="Arial" w:hAnsi="Arial"/>
                <w:sz w:val="16"/>
                <w:szCs w:val="16"/>
                <w:color w:val="auto"/>
              </w:rPr>
              <w:t>Loss (Income) from discontinued operations, net of tax</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2,126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2,440</w:t>
            </w:r>
          </w:p>
        </w:tc>
      </w:tr>
      <w:tr>
        <w:trPr>
          <w:trHeight w:val="263"/>
        </w:trPr>
        <w:tc>
          <w:tcPr>
            <w:tcW w:w="4700" w:type="dxa"/>
            <w:vAlign w:val="bottom"/>
          </w:tcPr>
          <w:p>
            <w:pPr>
              <w:ind w:left="200"/>
              <w:spacing w:after="0"/>
              <w:rPr>
                <w:sz w:val="20"/>
                <w:szCs w:val="20"/>
                <w:color w:val="auto"/>
              </w:rPr>
            </w:pPr>
            <w:r>
              <w:rPr>
                <w:rFonts w:ascii="Arial" w:cs="Arial" w:eastAsia="Arial" w:hAnsi="Arial"/>
                <w:sz w:val="16"/>
                <w:szCs w:val="16"/>
                <w:color w:val="auto"/>
              </w:rPr>
              <w:t>Net income attributable to non-controlling interests</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1,606</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3,825</w:t>
            </w:r>
          </w:p>
        </w:tc>
      </w:tr>
      <w:tr>
        <w:trPr>
          <w:trHeight w:val="217"/>
        </w:trPr>
        <w:tc>
          <w:tcPr>
            <w:tcW w:w="4700" w:type="dxa"/>
            <w:vAlign w:val="bottom"/>
          </w:tcPr>
          <w:p>
            <w:pPr>
              <w:spacing w:after="0"/>
              <w:rPr>
                <w:sz w:val="20"/>
                <w:szCs w:val="20"/>
                <w:color w:val="auto"/>
              </w:rPr>
            </w:pPr>
            <w:r>
              <w:rPr>
                <w:rFonts w:ascii="Arial" w:cs="Arial" w:eastAsia="Arial" w:hAnsi="Arial"/>
                <w:sz w:val="16"/>
                <w:szCs w:val="16"/>
                <w:color w:val="auto"/>
              </w:rPr>
              <w:t>(Loss) Income from continuing operations</w:t>
            </w:r>
          </w:p>
        </w:tc>
        <w:tc>
          <w:tcPr>
            <w:tcW w:w="16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28,094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65,180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11,824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(209,771)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(104,673)</w:t>
            </w:r>
          </w:p>
        </w:tc>
      </w:tr>
      <w:tr>
        <w:trPr>
          <w:trHeight w:val="243"/>
        </w:trPr>
        <w:tc>
          <w:tcPr>
            <w:tcW w:w="4700" w:type="dxa"/>
            <w:vAlign w:val="bottom"/>
          </w:tcPr>
          <w:p>
            <w:pPr>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5"/>
        </w:trPr>
        <w:tc>
          <w:tcPr>
            <w:tcW w:w="4700" w:type="dxa"/>
            <w:vAlign w:val="bottom"/>
          </w:tcPr>
          <w:p>
            <w:pPr>
              <w:ind w:left="200"/>
              <w:spacing w:after="0"/>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16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16,011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15,976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16,633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16,801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65,421</w:t>
            </w:r>
          </w:p>
        </w:tc>
      </w:tr>
      <w:tr>
        <w:trPr>
          <w:trHeight w:val="286"/>
        </w:trPr>
        <w:tc>
          <w:tcPr>
            <w:tcW w:w="4700" w:type="dxa"/>
            <w:vAlign w:val="bottom"/>
          </w:tcPr>
          <w:p>
            <w:pPr>
              <w:ind w:left="200"/>
              <w:spacing w:after="0"/>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(8)</w:t>
            </w:r>
          </w:p>
        </w:tc>
        <w:tc>
          <w:tcPr>
            <w:tcW w:w="16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25,281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25,281</w:t>
            </w:r>
          </w:p>
        </w:tc>
      </w:tr>
      <w:tr>
        <w:trPr>
          <w:trHeight w:val="243"/>
        </w:trPr>
        <w:tc>
          <w:tcPr>
            <w:tcW w:w="4700" w:type="dxa"/>
            <w:vAlign w:val="bottom"/>
          </w:tcPr>
          <w:p>
            <w:pPr>
              <w:ind w:left="200"/>
              <w:spacing w:after="0"/>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(4)</w:t>
            </w:r>
          </w:p>
        </w:tc>
        <w:tc>
          <w:tcPr>
            <w:tcW w:w="16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2,479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1,769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3,314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47,486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55,048</w:t>
            </w:r>
          </w:p>
        </w:tc>
      </w:tr>
      <w:tr>
        <w:trPr>
          <w:trHeight w:val="243"/>
        </w:trPr>
        <w:tc>
          <w:tcPr>
            <w:tcW w:w="4700" w:type="dxa"/>
            <w:vAlign w:val="bottom"/>
          </w:tcPr>
          <w:p>
            <w:pPr>
              <w:ind w:left="20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16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8,935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9,696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10,700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17,827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47,158</w:t>
            </w:r>
          </w:p>
        </w:tc>
      </w:tr>
      <w:tr>
        <w:trPr>
          <w:trHeight w:val="243"/>
        </w:trPr>
        <w:tc>
          <w:tcPr>
            <w:tcW w:w="4700" w:type="dxa"/>
            <w:vAlign w:val="bottom"/>
          </w:tcPr>
          <w:p>
            <w:pPr>
              <w:ind w:left="20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(5)</w:t>
            </w:r>
          </w:p>
        </w:tc>
        <w:tc>
          <w:tcPr>
            <w:tcW w:w="16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1,386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(24,179)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(24,276)</w:t>
            </w:r>
          </w:p>
        </w:tc>
      </w:tr>
      <w:tr>
        <w:trPr>
          <w:trHeight w:val="195"/>
        </w:trPr>
        <w:tc>
          <w:tcPr>
            <w:tcW w:w="470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60" w:type="dxa"/>
            <w:vAlign w:val="bottom"/>
          </w:tcPr>
          <w:p>
            <w:pPr>
              <w:spacing w:after="0"/>
              <w:rPr>
                <w:sz w:val="16"/>
                <w:szCs w:val="16"/>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18,295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17,094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15,802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17,577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68,768</w:t>
            </w:r>
          </w:p>
        </w:tc>
      </w:tr>
      <w:tr>
        <w:trPr>
          <w:trHeight w:val="291"/>
        </w:trPr>
        <w:tc>
          <w:tcPr>
            <w:tcW w:w="4700" w:type="dxa"/>
            <w:vAlign w:val="bottom"/>
          </w:tcPr>
          <w:p>
            <w:pPr>
              <w:ind w:left="200"/>
              <w:spacing w:after="0"/>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(2b)</w:t>
            </w:r>
          </w:p>
        </w:tc>
        <w:tc>
          <w:tcPr>
            <w:tcW w:w="160" w:type="dxa"/>
            <w:vAlign w:val="bottom"/>
          </w:tcPr>
          <w:p>
            <w:pPr>
              <w:spacing w:after="0"/>
              <w:rPr>
                <w:sz w:val="24"/>
                <w:szCs w:val="24"/>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79,209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78,060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77,956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69,513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304,738</w:t>
            </w:r>
          </w:p>
        </w:tc>
      </w:tr>
      <w:tr>
        <w:trPr>
          <w:trHeight w:val="243"/>
        </w:trPr>
        <w:tc>
          <w:tcPr>
            <w:tcW w:w="4700" w:type="dxa"/>
            <w:vAlign w:val="bottom"/>
          </w:tcPr>
          <w:p>
            <w:pPr>
              <w:ind w:left="200"/>
              <w:spacing w:after="0"/>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(2c)</w:t>
            </w:r>
          </w:p>
        </w:tc>
        <w:tc>
          <w:tcPr>
            <w:tcW w:w="16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9,627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9,579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9,547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36,880</w:t>
            </w:r>
          </w:p>
        </w:tc>
      </w:tr>
      <w:tr>
        <w:trPr>
          <w:trHeight w:val="243"/>
        </w:trPr>
        <w:tc>
          <w:tcPr>
            <w:tcW w:w="4700" w:type="dxa"/>
            <w:vAlign w:val="bottom"/>
          </w:tcPr>
          <w:p>
            <w:pPr>
              <w:ind w:left="20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6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19,846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20,851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23,110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18,213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82,020</w:t>
            </w:r>
          </w:p>
        </w:tc>
      </w:tr>
      <w:tr>
        <w:trPr>
          <w:trHeight w:val="195"/>
        </w:trPr>
        <w:tc>
          <w:tcPr>
            <w:tcW w:w="470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6"/>
                <w:szCs w:val="16"/>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39,608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39,743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39,027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37,442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155,820</w:t>
            </w:r>
          </w:p>
        </w:tc>
      </w:tr>
      <w:tr>
        <w:trPr>
          <w:trHeight w:val="256"/>
        </w:trPr>
        <w:tc>
          <w:tcPr>
            <w:tcW w:w="4700" w:type="dxa"/>
            <w:vAlign w:val="bottom"/>
          </w:tcPr>
          <w:p>
            <w:pPr>
              <w:ind w:left="20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12,145</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7,795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3,543</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(27,254)</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(3,771)</w:t>
            </w:r>
          </w:p>
        </w:tc>
      </w:tr>
      <w:tr>
        <w:trPr>
          <w:trHeight w:val="243"/>
        </w:trPr>
        <w:tc>
          <w:tcPr>
            <w:tcW w:w="4700" w:type="dxa"/>
            <w:vAlign w:val="bottom"/>
          </w:tcPr>
          <w:p>
            <w:pPr>
              <w:ind w:left="200"/>
              <w:spacing w:after="0"/>
              <w:rPr>
                <w:sz w:val="20"/>
                <w:szCs w:val="20"/>
                <w:color w:val="auto"/>
              </w:rPr>
            </w:pPr>
            <w:r>
              <w:rPr>
                <w:rFonts w:ascii="Arial" w:cs="Arial" w:eastAsia="Arial" w:hAnsi="Arial"/>
                <w:sz w:val="16"/>
                <w:szCs w:val="16"/>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235,635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241,564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206,812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24,403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708,414</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39"/>
        </w:trPr>
        <w:tc>
          <w:tcPr>
            <w:tcW w:w="4700" w:type="dxa"/>
            <w:vAlign w:val="bottom"/>
          </w:tcPr>
          <w:p>
            <w:pPr>
              <w:spacing w:after="0"/>
              <w:rPr>
                <w:sz w:val="20"/>
                <w:szCs w:val="20"/>
                <w:color w:val="auto"/>
              </w:rPr>
            </w:pPr>
            <w:r>
              <w:rPr>
                <w:rFonts w:ascii="Arial" w:cs="Arial" w:eastAsia="Arial" w:hAnsi="Arial"/>
                <w:sz w:val="16"/>
                <w:szCs w:val="16"/>
                <w:color w:val="auto"/>
              </w:rPr>
              <w:t>Net Debt (total debt, less cash)</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3,033,589</w:t>
            </w:r>
          </w:p>
        </w:tc>
      </w:tr>
      <w:tr>
        <w:trPr>
          <w:trHeight w:val="243"/>
        </w:trPr>
        <w:tc>
          <w:tcPr>
            <w:tcW w:w="4700" w:type="dxa"/>
            <w:vAlign w:val="bottom"/>
          </w:tcPr>
          <w:p>
            <w:pPr>
              <w:spacing w:after="0"/>
              <w:rPr>
                <w:sz w:val="20"/>
                <w:szCs w:val="20"/>
                <w:color w:val="auto"/>
              </w:rPr>
            </w:pPr>
            <w:r>
              <w:rPr>
                <w:rFonts w:ascii="Arial" w:cs="Arial" w:eastAsia="Arial" w:hAnsi="Arial"/>
                <w:sz w:val="16"/>
                <w:szCs w:val="16"/>
                <w:color w:val="auto"/>
              </w:rPr>
              <w:t>Net Debt / LTM Adjusted EBITDA</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79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 30, 2018</w:t>
            </w:r>
          </w:p>
        </w:tc>
        <w:tc>
          <w:tcPr>
            <w:tcW w:w="12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 30, 2018</w:t>
            </w: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 31, 2018</w:t>
            </w:r>
          </w:p>
        </w:tc>
        <w:tc>
          <w:tcPr>
            <w:tcW w:w="1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 31, 2019</w:t>
            </w:r>
          </w:p>
        </w:tc>
        <w:tc>
          <w:tcPr>
            <w:tcW w:w="220" w:type="dxa"/>
            <w:vAlign w:val="bottom"/>
          </w:tcPr>
          <w:p>
            <w:pPr>
              <w:spacing w:after="0"/>
              <w:rPr>
                <w:sz w:val="18"/>
                <w:szCs w:val="18"/>
                <w:color w:val="auto"/>
              </w:rPr>
            </w:pPr>
          </w:p>
        </w:tc>
        <w:tc>
          <w:tcPr>
            <w:tcW w:w="980" w:type="dxa"/>
            <w:vAlign w:val="bottom"/>
          </w:tcPr>
          <w:p>
            <w:pPr>
              <w:jc w:val="right"/>
              <w:ind w:right="380"/>
              <w:spacing w:after="0"/>
              <w:rPr>
                <w:sz w:val="20"/>
                <w:szCs w:val="20"/>
                <w:color w:val="auto"/>
              </w:rPr>
            </w:pPr>
            <w:r>
              <w:rPr>
                <w:rFonts w:ascii="Arial" w:cs="Arial" w:eastAsia="Arial" w:hAnsi="Arial"/>
                <w:sz w:val="14"/>
                <w:szCs w:val="14"/>
                <w:b w:val="1"/>
                <w:bCs w:val="1"/>
                <w:color w:val="auto"/>
              </w:rPr>
              <w:t>LTM</w:t>
            </w:r>
          </w:p>
        </w:tc>
      </w:tr>
      <w:tr>
        <w:trPr>
          <w:trHeight w:val="223"/>
        </w:trPr>
        <w:tc>
          <w:tcPr>
            <w:tcW w:w="4660" w:type="dxa"/>
            <w:vAlign w:val="bottom"/>
          </w:tcPr>
          <w:p>
            <w:pPr>
              <w:spacing w:after="0"/>
              <w:rPr>
                <w:sz w:val="20"/>
                <w:szCs w:val="20"/>
                <w:color w:val="auto"/>
              </w:rPr>
            </w:pPr>
            <w:r>
              <w:rPr>
                <w:rFonts w:ascii="Arial" w:cs="Arial" w:eastAsia="Arial" w:hAnsi="Arial"/>
                <w:sz w:val="16"/>
                <w:szCs w:val="16"/>
                <w:color w:val="auto"/>
              </w:rPr>
              <w:t>Net income attributable to common stockholders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92,246</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73,005</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84,400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56,850</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306,501</w:t>
            </w:r>
          </w:p>
        </w:tc>
      </w:tr>
      <w:tr>
        <w:trPr>
          <w:trHeight w:val="243"/>
        </w:trPr>
        <w:tc>
          <w:tcPr>
            <w:tcW w:w="4660" w:type="dxa"/>
            <w:vAlign w:val="bottom"/>
          </w:tcPr>
          <w:p>
            <w:pPr>
              <w:ind w:left="100"/>
              <w:spacing w:after="0"/>
              <w:rPr>
                <w:sz w:val="20"/>
                <w:szCs w:val="20"/>
                <w:color w:val="auto"/>
              </w:rPr>
            </w:pPr>
            <w:r>
              <w:rPr>
                <w:rFonts w:ascii="Arial" w:cs="Arial" w:eastAsia="Arial" w:hAnsi="Arial"/>
                <w:sz w:val="16"/>
                <w:szCs w:val="16"/>
                <w:color w:val="auto"/>
              </w:rPr>
              <w:t>(Income) loss from discontinued operations, net of tax</w:t>
            </w:r>
          </w:p>
        </w:tc>
        <w:tc>
          <w:tcPr>
            <w:tcW w:w="14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(3,664)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1,478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1,452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(1,494)</w:t>
            </w:r>
          </w:p>
        </w:tc>
      </w:tr>
      <w:tr>
        <w:trPr>
          <w:trHeight w:val="263"/>
        </w:trPr>
        <w:tc>
          <w:tcPr>
            <w:tcW w:w="4660" w:type="dxa"/>
            <w:vAlign w:val="bottom"/>
          </w:tcPr>
          <w:p>
            <w:pPr>
              <w:ind w:left="200"/>
              <w:spacing w:after="0"/>
              <w:rPr>
                <w:sz w:val="20"/>
                <w:szCs w:val="20"/>
                <w:color w:val="auto"/>
              </w:rPr>
            </w:pPr>
            <w:r>
              <w:rPr>
                <w:rFonts w:ascii="Arial" w:cs="Arial" w:eastAsia="Arial" w:hAnsi="Arial"/>
                <w:sz w:val="16"/>
                <w:szCs w:val="16"/>
                <w:color w:val="auto"/>
              </w:rPr>
              <w:t>Net income attributable to non-controlling interests</w:t>
            </w:r>
            <w:r>
              <w:rPr>
                <w:rFonts w:ascii="Arial" w:cs="Arial" w:eastAsia="Arial" w:hAnsi="Arial"/>
                <w:sz w:val="21"/>
                <w:szCs w:val="21"/>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1,079</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1,538</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1,150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4,679</w:t>
            </w:r>
          </w:p>
        </w:tc>
      </w:tr>
      <w:tr>
        <w:trPr>
          <w:trHeight w:val="217"/>
        </w:trPr>
        <w:tc>
          <w:tcPr>
            <w:tcW w:w="4660" w:type="dxa"/>
            <w:vAlign w:val="bottom"/>
          </w:tcPr>
          <w:p>
            <w:pPr>
              <w:spacing w:after="0"/>
              <w:rPr>
                <w:sz w:val="20"/>
                <w:szCs w:val="20"/>
                <w:color w:val="auto"/>
              </w:rPr>
            </w:pPr>
            <w:r>
              <w:rPr>
                <w:rFonts w:ascii="Arial" w:cs="Arial" w:eastAsia="Arial" w:hAnsi="Arial"/>
                <w:sz w:val="16"/>
                <w:szCs w:val="16"/>
                <w:color w:val="auto"/>
              </w:rPr>
              <w:t>Income from continuing operations</w:t>
            </w:r>
          </w:p>
        </w:tc>
        <w:tc>
          <w:tcPr>
            <w:tcW w:w="140" w:type="dxa"/>
            <w:vAlign w:val="bottom"/>
          </w:tcPr>
          <w:p>
            <w:pPr>
              <w:spacing w:after="0"/>
              <w:rPr>
                <w:sz w:val="18"/>
                <w:szCs w:val="18"/>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92,565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70,879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87,028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59,214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309,686</w:t>
            </w:r>
          </w:p>
        </w:tc>
      </w:tr>
      <w:tr>
        <w:trPr>
          <w:trHeight w:val="243"/>
        </w:trPr>
        <w:tc>
          <w:tcPr>
            <w:tcW w:w="4660" w:type="dxa"/>
            <w:vAlign w:val="bottom"/>
          </w:tcPr>
          <w:p>
            <w:pPr>
              <w:spacing w:after="0"/>
              <w:rPr>
                <w:sz w:val="20"/>
                <w:szCs w:val="20"/>
                <w:color w:val="auto"/>
              </w:rPr>
            </w:pPr>
            <w:r>
              <w:rPr>
                <w:rFonts w:ascii="Arial" w:cs="Arial" w:eastAsia="Arial" w:hAnsi="Arial"/>
                <w:sz w:val="16"/>
                <w:szCs w:val="16"/>
                <w:color w:val="auto"/>
              </w:rPr>
              <w:t>Adjustments: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91"/>
        </w:trPr>
        <w:tc>
          <w:tcPr>
            <w:tcW w:w="4660" w:type="dxa"/>
            <w:vAlign w:val="bottom"/>
          </w:tcPr>
          <w:p>
            <w:pPr>
              <w:ind w:left="200"/>
              <w:spacing w:after="0"/>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140" w:type="dxa"/>
            <w:vAlign w:val="bottom"/>
          </w:tcPr>
          <w:p>
            <w:pPr>
              <w:spacing w:after="0"/>
              <w:rPr>
                <w:sz w:val="24"/>
                <w:szCs w:val="24"/>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17,588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16,407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16,423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15,984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66,402</w:t>
            </w:r>
          </w:p>
        </w:tc>
      </w:tr>
      <w:tr>
        <w:trPr>
          <w:trHeight w:val="243"/>
        </w:trPr>
        <w:tc>
          <w:tcPr>
            <w:tcW w:w="4660" w:type="dxa"/>
            <w:vAlign w:val="bottom"/>
          </w:tcPr>
          <w:p>
            <w:pPr>
              <w:ind w:left="200"/>
              <w:spacing w:after="0"/>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(4)</w:t>
            </w:r>
          </w:p>
        </w:tc>
        <w:tc>
          <w:tcPr>
            <w:tcW w:w="14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7,735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1,905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(2,237)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1,870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9,273</w:t>
            </w:r>
          </w:p>
        </w:tc>
      </w:tr>
      <w:tr>
        <w:trPr>
          <w:trHeight w:val="243"/>
        </w:trPr>
        <w:tc>
          <w:tcPr>
            <w:tcW w:w="4660" w:type="dxa"/>
            <w:vAlign w:val="bottom"/>
          </w:tcPr>
          <w:p>
            <w:pPr>
              <w:ind w:left="20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3,266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11,706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14,972</w:t>
            </w:r>
          </w:p>
        </w:tc>
      </w:tr>
      <w:tr>
        <w:trPr>
          <w:trHeight w:val="243"/>
        </w:trPr>
        <w:tc>
          <w:tcPr>
            <w:tcW w:w="4660" w:type="dxa"/>
            <w:vAlign w:val="bottom"/>
          </w:tcPr>
          <w:p>
            <w:pPr>
              <w:ind w:left="20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(5)</w:t>
            </w:r>
          </w:p>
        </w:tc>
        <w:tc>
          <w:tcPr>
            <w:tcW w:w="14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5,225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8,933</w:t>
            </w:r>
          </w:p>
        </w:tc>
      </w:tr>
      <w:tr>
        <w:trPr>
          <w:trHeight w:val="195"/>
        </w:trPr>
        <w:tc>
          <w:tcPr>
            <w:tcW w:w="466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16"/>
                <w:szCs w:val="16"/>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13,594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15,245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15,818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15,694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60,351</w:t>
            </w:r>
          </w:p>
        </w:tc>
      </w:tr>
      <w:tr>
        <w:trPr>
          <w:trHeight w:val="291"/>
        </w:trPr>
        <w:tc>
          <w:tcPr>
            <w:tcW w:w="4660" w:type="dxa"/>
            <w:vAlign w:val="bottom"/>
          </w:tcPr>
          <w:p>
            <w:pPr>
              <w:ind w:left="200"/>
              <w:spacing w:after="0"/>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(2b)</w:t>
            </w:r>
          </w:p>
        </w:tc>
        <w:tc>
          <w:tcPr>
            <w:tcW w:w="140" w:type="dxa"/>
            <w:vAlign w:val="bottom"/>
          </w:tcPr>
          <w:p>
            <w:pPr>
              <w:spacing w:after="0"/>
              <w:rPr>
                <w:sz w:val="24"/>
                <w:szCs w:val="24"/>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74,960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76,226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77,963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75,348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304,497</w:t>
            </w:r>
          </w:p>
        </w:tc>
      </w:tr>
      <w:tr>
        <w:trPr>
          <w:trHeight w:val="243"/>
        </w:trPr>
        <w:tc>
          <w:tcPr>
            <w:tcW w:w="4660" w:type="dxa"/>
            <w:vAlign w:val="bottom"/>
          </w:tcPr>
          <w:p>
            <w:pPr>
              <w:ind w:left="200"/>
              <w:spacing w:after="0"/>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(2c)</w:t>
            </w:r>
          </w:p>
        </w:tc>
        <w:tc>
          <w:tcPr>
            <w:tcW w:w="14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10,395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10,099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11,407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12,111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44,012</w:t>
            </w:r>
          </w:p>
        </w:tc>
      </w:tr>
      <w:tr>
        <w:trPr>
          <w:trHeight w:val="243"/>
        </w:trPr>
        <w:tc>
          <w:tcPr>
            <w:tcW w:w="4660" w:type="dxa"/>
            <w:vAlign w:val="bottom"/>
          </w:tcPr>
          <w:p>
            <w:pPr>
              <w:ind w:left="20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4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19,661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18,207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20,298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19,128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77,294</w:t>
            </w:r>
          </w:p>
        </w:tc>
      </w:tr>
      <w:tr>
        <w:trPr>
          <w:trHeight w:val="195"/>
        </w:trPr>
        <w:tc>
          <w:tcPr>
            <w:tcW w:w="466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6"/>
                <w:szCs w:val="16"/>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39,409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39,291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40,208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38,013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156,921</w:t>
            </w:r>
          </w:p>
        </w:tc>
      </w:tr>
      <w:tr>
        <w:trPr>
          <w:trHeight w:val="256"/>
        </w:trPr>
        <w:tc>
          <w:tcPr>
            <w:tcW w:w="4660" w:type="dxa"/>
            <w:vAlign w:val="bottom"/>
          </w:tcPr>
          <w:p>
            <w:pPr>
              <w:ind w:left="20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25,021</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(3,879)</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11,843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33,060</w:t>
            </w:r>
          </w:p>
        </w:tc>
      </w:tr>
      <w:tr>
        <w:trPr>
          <w:trHeight w:val="243"/>
        </w:trPr>
        <w:tc>
          <w:tcPr>
            <w:tcW w:w="4660" w:type="dxa"/>
            <w:vAlign w:val="bottom"/>
          </w:tcPr>
          <w:p>
            <w:pPr>
              <w:ind w:left="200"/>
              <w:spacing w:after="0"/>
              <w:rPr>
                <w:sz w:val="20"/>
                <w:szCs w:val="20"/>
                <w:color w:val="auto"/>
              </w:rPr>
            </w:pPr>
            <w:r>
              <w:rPr>
                <w:rFonts w:ascii="Arial" w:cs="Arial" w:eastAsia="Arial" w:hAnsi="Arial"/>
                <w:sz w:val="16"/>
                <w:szCs w:val="16"/>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277,002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278,505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267,545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262,349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1,085,401</w:t>
            </w: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39"/>
        </w:trPr>
        <w:tc>
          <w:tcPr>
            <w:tcW w:w="4660" w:type="dxa"/>
            <w:vAlign w:val="bottom"/>
          </w:tcPr>
          <w:p>
            <w:pPr>
              <w:spacing w:after="0"/>
              <w:rPr>
                <w:sz w:val="20"/>
                <w:szCs w:val="20"/>
                <w:color w:val="auto"/>
              </w:rPr>
            </w:pPr>
            <w:r>
              <w:rPr>
                <w:rFonts w:ascii="Arial" w:cs="Arial" w:eastAsia="Arial" w:hAnsi="Arial"/>
                <w:sz w:val="16"/>
                <w:szCs w:val="16"/>
                <w:color w:val="auto"/>
              </w:rPr>
              <w:t>Net Debt (total debt, less cash)</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2,958,827</w:t>
            </w:r>
          </w:p>
        </w:tc>
      </w:tr>
      <w:tr>
        <w:trPr>
          <w:trHeight w:val="243"/>
        </w:trPr>
        <w:tc>
          <w:tcPr>
            <w:tcW w:w="4660" w:type="dxa"/>
            <w:vAlign w:val="bottom"/>
          </w:tcPr>
          <w:p>
            <w:pPr>
              <w:spacing w:after="0"/>
              <w:rPr>
                <w:sz w:val="20"/>
                <w:szCs w:val="20"/>
                <w:color w:val="auto"/>
              </w:rPr>
            </w:pPr>
            <w:r>
              <w:rPr>
                <w:rFonts w:ascii="Arial" w:cs="Arial" w:eastAsia="Arial" w:hAnsi="Arial"/>
                <w:sz w:val="16"/>
                <w:szCs w:val="16"/>
                <w:color w:val="auto"/>
              </w:rPr>
              <w:t>Net Debt / LTM Adjusted EBITDA</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20"/>
          </w:cols>
          <w:pgMar w:left="340" w:top="1071" w:right="339" w:bottom="1440" w:gutter="0" w:footer="0" w:header="0"/>
        </w:sectPr>
      </w:pPr>
    </w:p>
    <w:bookmarkStart w:id="20" w:name="page21"/>
    <w:bookmarkEnd w:id="20"/>
    <w:p>
      <w:pPr>
        <w:spacing w:after="0" w:line="324" w:lineRule="auto"/>
        <w:rPr>
          <w:sz w:val="20"/>
          <w:szCs w:val="20"/>
          <w:color w:val="auto"/>
        </w:rPr>
      </w:pPr>
      <w:r>
        <w:rPr>
          <w:rFonts w:ascii="Arial" w:cs="Arial" w:eastAsia="Arial" w:hAnsi="Arial"/>
          <w:sz w:val="20"/>
          <w:szCs w:val="20"/>
          <w:i w:val="1"/>
          <w:iCs w:val="1"/>
          <w:color w:val="auto"/>
        </w:rPr>
        <w:t>Reconciliation of Operating (Loss) Income to Adjusted Gross Profit, Adjusted EBITDA and Adjusted Operating (Loss) Income by business segment:</w:t>
      </w:r>
    </w:p>
    <w:p>
      <w:pPr>
        <w:spacing w:after="0" w:line="132"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Three Months Ended March 31, 2020</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337"/>
        </w:trPr>
        <w:tc>
          <w:tcPr>
            <w:tcW w:w="5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Travel</w:t>
            </w:r>
          </w:p>
        </w:tc>
        <w:tc>
          <w:tcPr>
            <w:tcW w:w="160" w:type="dxa"/>
            <w:vAlign w:val="bottom"/>
          </w:tcPr>
          <w:p>
            <w:pPr>
              <w:spacing w:after="0"/>
              <w:rPr>
                <w:sz w:val="24"/>
                <w:szCs w:val="2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Airline</w:t>
            </w:r>
          </w:p>
        </w:tc>
        <w:tc>
          <w:tcPr>
            <w:tcW w:w="14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Hospitality</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Network</w:t>
            </w:r>
          </w:p>
        </w:tc>
        <w:tc>
          <w:tcPr>
            <w:tcW w:w="16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Solutions</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Solutions</w:t>
            </w: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Arial" w:cs="Arial" w:eastAsia="Arial" w:hAnsi="Arial"/>
                <w:sz w:val="14"/>
                <w:szCs w:val="14"/>
                <w:b w:val="1"/>
                <w:bCs w:val="1"/>
                <w:color w:val="auto"/>
              </w:rPr>
              <w:t>Total</w:t>
            </w:r>
          </w:p>
        </w:tc>
      </w:tr>
      <w:tr>
        <w:trPr>
          <w:trHeight w:val="223"/>
        </w:trPr>
        <w:tc>
          <w:tcPr>
            <w:tcW w:w="5100" w:type="dxa"/>
            <w:vAlign w:val="bottom"/>
          </w:tcPr>
          <w:p>
            <w:pPr>
              <w:spacing w:after="0"/>
              <w:rPr>
                <w:sz w:val="20"/>
                <w:szCs w:val="20"/>
                <w:color w:val="auto"/>
              </w:rPr>
            </w:pPr>
            <w:r>
              <w:rPr>
                <w:rFonts w:ascii="Arial" w:cs="Arial" w:eastAsia="Arial" w:hAnsi="Arial"/>
                <w:sz w:val="16"/>
                <w:szCs w:val="16"/>
                <w:color w:val="auto"/>
              </w:rPr>
              <w:t>Operating (loss)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22,658</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(32,579)</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(16,457)</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(125,033)</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(151,411)</w:t>
            </w:r>
          </w:p>
        </w:tc>
      </w:tr>
      <w:tr>
        <w:trPr>
          <w:trHeight w:val="243"/>
        </w:trPr>
        <w:tc>
          <w:tcPr>
            <w:tcW w:w="5100" w:type="dxa"/>
            <w:vAlign w:val="bottom"/>
          </w:tcPr>
          <w:p>
            <w:pPr>
              <w:spacing w:after="0"/>
              <w:rPr>
                <w:sz w:val="20"/>
                <w:szCs w:val="20"/>
                <w:color w:val="auto"/>
              </w:rPr>
            </w:pPr>
            <w:r>
              <w:rPr>
                <w:rFonts w:ascii="Arial" w:cs="Arial" w:eastAsia="Arial" w:hAnsi="Arial"/>
                <w:sz w:val="16"/>
                <w:szCs w:val="16"/>
                <w:color w:val="auto"/>
              </w:rPr>
              <w:t>Add back:</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1"/>
                <w:szCs w:val="21"/>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48,969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46,519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11,685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91,700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198,873</w:t>
            </w:r>
          </w:p>
        </w:tc>
      </w:tr>
      <w:tr>
        <w:trPr>
          <w:trHeight w:val="243"/>
        </w:trPr>
        <w:tc>
          <w:tcPr>
            <w:tcW w:w="5100" w:type="dxa"/>
            <w:vAlign w:val="bottom"/>
          </w:tcPr>
          <w:p>
            <w:pPr>
              <w:ind w:left="200"/>
              <w:spacing w:after="0"/>
              <w:rPr>
                <w:sz w:val="20"/>
                <w:szCs w:val="20"/>
                <w:color w:val="auto"/>
              </w:rPr>
            </w:pPr>
            <w:r>
              <w:rPr>
                <w:rFonts w:ascii="Arial" w:cs="Arial" w:eastAsia="Arial" w:hAnsi="Arial"/>
                <w:sz w:val="16"/>
                <w:szCs w:val="16"/>
                <w:color w:val="auto"/>
              </w:rPr>
              <w:t>Cost of revenue adjustments: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89"/>
        </w:trPr>
        <w:tc>
          <w:tcPr>
            <w:tcW w:w="5100" w:type="dxa"/>
            <w:vAlign w:val="bottom"/>
          </w:tcPr>
          <w:p>
            <w:pPr>
              <w:ind w:left="4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8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22,329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38,087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10,466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6,491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77,373</w:t>
            </w:r>
          </w:p>
        </w:tc>
      </w:tr>
      <w:tr>
        <w:trPr>
          <w:trHeight w:val="259"/>
        </w:trPr>
        <w:tc>
          <w:tcPr>
            <w:tcW w:w="5100" w:type="dxa"/>
            <w:vAlign w:val="bottom"/>
          </w:tcPr>
          <w:p>
            <w:pPr>
              <w:ind w:left="440"/>
              <w:spacing w:after="0"/>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(8)</w:t>
            </w:r>
          </w:p>
        </w:tc>
        <w:tc>
          <w:tcPr>
            <w:tcW w:w="180" w:type="dxa"/>
            <w:vAlign w:val="bottom"/>
          </w:tcPr>
          <w:p>
            <w:pPr>
              <w:spacing w:after="0"/>
              <w:rPr>
                <w:sz w:val="22"/>
                <w:szCs w:val="22"/>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16,695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16,695</w:t>
            </w:r>
          </w:p>
        </w:tc>
      </w:tr>
      <w:tr>
        <w:trPr>
          <w:trHeight w:val="243"/>
        </w:trPr>
        <w:tc>
          <w:tcPr>
            <w:tcW w:w="5100" w:type="dxa"/>
            <w:vAlign w:val="bottom"/>
          </w:tcPr>
          <w:p>
            <w:pPr>
              <w:ind w:left="42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18,213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18,213</w:t>
            </w:r>
          </w:p>
        </w:tc>
      </w:tr>
      <w:tr>
        <w:trPr>
          <w:trHeight w:val="208"/>
        </w:trPr>
        <w:tc>
          <w:tcPr>
            <w:tcW w:w="5100" w:type="dxa"/>
            <w:vAlign w:val="bottom"/>
          </w:tcPr>
          <w:p>
            <w:pPr>
              <w:ind w:left="40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7,357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7,357</w:t>
            </w:r>
          </w:p>
        </w:tc>
      </w:tr>
      <w:tr>
        <w:trPr>
          <w:trHeight w:val="223"/>
        </w:trPr>
        <w:tc>
          <w:tcPr>
            <w:tcW w:w="5100" w:type="dxa"/>
            <w:vAlign w:val="bottom"/>
          </w:tcPr>
          <w:p>
            <w:pPr>
              <w:spacing w:after="0"/>
              <w:rPr>
                <w:sz w:val="20"/>
                <w:szCs w:val="20"/>
                <w:color w:val="auto"/>
              </w:rPr>
            </w:pPr>
            <w:r>
              <w:rPr>
                <w:rFonts w:ascii="Arial" w:cs="Arial" w:eastAsia="Arial" w:hAnsi="Arial"/>
                <w:sz w:val="16"/>
                <w:szCs w:val="16"/>
                <w:color w:val="auto"/>
              </w:rPr>
              <w:t>Adjusted Gross Profit</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112,169</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52,027</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5,694</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(2,790)</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167,100</w:t>
            </w:r>
          </w:p>
        </w:tc>
      </w:tr>
      <w:tr>
        <w:trPr>
          <w:trHeight w:val="243"/>
        </w:trPr>
        <w:tc>
          <w:tcPr>
            <w:tcW w:w="510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1"/>
                <w:szCs w:val="21"/>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(48,969)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(46,519)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(11,685)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(91,700)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(198,873)</w:t>
            </w:r>
          </w:p>
        </w:tc>
      </w:tr>
      <w:tr>
        <w:trPr>
          <w:trHeight w:val="243"/>
        </w:trPr>
        <w:tc>
          <w:tcPr>
            <w:tcW w:w="5100" w:type="dxa"/>
            <w:vAlign w:val="bottom"/>
          </w:tcPr>
          <w:p>
            <w:pPr>
              <w:spacing w:after="0"/>
              <w:rPr>
                <w:sz w:val="20"/>
                <w:szCs w:val="20"/>
                <w:color w:val="auto"/>
              </w:rPr>
            </w:pPr>
            <w:r>
              <w:rPr>
                <w:rFonts w:ascii="Arial" w:cs="Arial" w:eastAsia="Arial" w:hAnsi="Arial"/>
                <w:sz w:val="16"/>
                <w:szCs w:val="16"/>
                <w:color w:val="auto"/>
              </w:rPr>
              <w:t>Equity method loss</w:t>
            </w:r>
          </w:p>
        </w:tc>
        <w:tc>
          <w:tcPr>
            <w:tcW w:w="180" w:type="dxa"/>
            <w:vAlign w:val="bottom"/>
          </w:tcPr>
          <w:p>
            <w:pPr>
              <w:spacing w:after="0"/>
              <w:rPr>
                <w:sz w:val="21"/>
                <w:szCs w:val="21"/>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(686)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(686)</w:t>
            </w:r>
          </w:p>
        </w:tc>
      </w:tr>
      <w:tr>
        <w:trPr>
          <w:trHeight w:val="243"/>
        </w:trPr>
        <w:tc>
          <w:tcPr>
            <w:tcW w:w="5100" w:type="dxa"/>
            <w:vAlign w:val="bottom"/>
          </w:tcPr>
          <w:p>
            <w:pPr>
              <w:spacing w:after="0"/>
              <w:rPr>
                <w:sz w:val="20"/>
                <w:szCs w:val="20"/>
                <w:color w:val="auto"/>
              </w:rPr>
            </w:pPr>
            <w:r>
              <w:rPr>
                <w:rFonts w:ascii="Arial" w:cs="Arial" w:eastAsia="Arial" w:hAnsi="Arial"/>
                <w:sz w:val="16"/>
                <w:szCs w:val="16"/>
                <w:color w:val="auto"/>
              </w:rPr>
              <w:t>Selling, general and administrative adjustments: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89"/>
        </w:trPr>
        <w:tc>
          <w:tcPr>
            <w:tcW w:w="5100" w:type="dxa"/>
            <w:vAlign w:val="bottom"/>
          </w:tcPr>
          <w:p>
            <w:pPr>
              <w:ind w:left="4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8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2,938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2,861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1,136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11,553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18,488</w:t>
            </w:r>
          </w:p>
        </w:tc>
      </w:tr>
      <w:tr>
        <w:trPr>
          <w:trHeight w:val="259"/>
        </w:trPr>
        <w:tc>
          <w:tcPr>
            <w:tcW w:w="5100" w:type="dxa"/>
            <w:vAlign w:val="bottom"/>
          </w:tcPr>
          <w:p>
            <w:pPr>
              <w:ind w:left="440"/>
              <w:spacing w:after="0"/>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(8)</w:t>
            </w:r>
          </w:p>
        </w:tc>
        <w:tc>
          <w:tcPr>
            <w:tcW w:w="180" w:type="dxa"/>
            <w:vAlign w:val="bottom"/>
          </w:tcPr>
          <w:p>
            <w:pPr>
              <w:spacing w:after="0"/>
              <w:rPr>
                <w:sz w:val="22"/>
                <w:szCs w:val="22"/>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8,586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8,586</w:t>
            </w:r>
          </w:p>
        </w:tc>
      </w:tr>
      <w:tr>
        <w:trPr>
          <w:trHeight w:val="243"/>
        </w:trPr>
        <w:tc>
          <w:tcPr>
            <w:tcW w:w="5100" w:type="dxa"/>
            <w:vAlign w:val="bottom"/>
          </w:tcPr>
          <w:p>
            <w:pPr>
              <w:ind w:left="44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180" w:type="dxa"/>
            <w:vAlign w:val="bottom"/>
          </w:tcPr>
          <w:p>
            <w:pPr>
              <w:spacing w:after="0"/>
              <w:rPr>
                <w:sz w:val="21"/>
                <w:szCs w:val="21"/>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17,827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17,827</w:t>
            </w:r>
          </w:p>
        </w:tc>
      </w:tr>
      <w:tr>
        <w:trPr>
          <w:trHeight w:val="243"/>
        </w:trPr>
        <w:tc>
          <w:tcPr>
            <w:tcW w:w="5100" w:type="dxa"/>
            <w:vAlign w:val="bottom"/>
          </w:tcPr>
          <w:p>
            <w:pPr>
              <w:ind w:left="44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(5)</w:t>
            </w:r>
          </w:p>
        </w:tc>
        <w:tc>
          <w:tcPr>
            <w:tcW w:w="180" w:type="dxa"/>
            <w:vAlign w:val="bottom"/>
          </w:tcPr>
          <w:p>
            <w:pPr>
              <w:spacing w:after="0"/>
              <w:rPr>
                <w:sz w:val="21"/>
                <w:szCs w:val="21"/>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1,741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1,741</w:t>
            </w:r>
          </w:p>
        </w:tc>
      </w:tr>
      <w:tr>
        <w:trPr>
          <w:trHeight w:val="208"/>
        </w:trPr>
        <w:tc>
          <w:tcPr>
            <w:tcW w:w="5100" w:type="dxa"/>
            <w:vAlign w:val="bottom"/>
          </w:tcPr>
          <w:p>
            <w:pPr>
              <w:ind w:left="40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10,220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10,220</w:t>
            </w:r>
          </w:p>
        </w:tc>
      </w:tr>
      <w:tr>
        <w:trPr>
          <w:trHeight w:val="237"/>
        </w:trPr>
        <w:tc>
          <w:tcPr>
            <w:tcW w:w="5100" w:type="dxa"/>
            <w:vAlign w:val="bottom"/>
          </w:tcPr>
          <w:p>
            <w:pPr>
              <w:spacing w:after="0"/>
              <w:rPr>
                <w:sz w:val="20"/>
                <w:szCs w:val="20"/>
                <w:color w:val="auto"/>
              </w:rPr>
            </w:pPr>
            <w:r>
              <w:rPr>
                <w:rFonts w:ascii="Arial" w:cs="Arial" w:eastAsia="Arial" w:hAnsi="Arial"/>
                <w:sz w:val="16"/>
                <w:szCs w:val="16"/>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65,452</w:t>
            </w: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8,369</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(4,855)</w:t>
            </w: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(44,563)</w:t>
            </w: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24,403</w:t>
            </w: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auto"/>
              </w:rPr>
              <w:t>Less: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91"/>
        </w:trPr>
        <w:tc>
          <w:tcPr>
            <w:tcW w:w="5100" w:type="dxa"/>
            <w:vAlign w:val="bottom"/>
          </w:tcPr>
          <w:p>
            <w:pPr>
              <w:ind w:left="20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8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25,267</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40,948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11,602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18,044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95,861</w:t>
            </w:r>
          </w:p>
        </w:tc>
      </w:tr>
      <w:tr>
        <w:trPr>
          <w:trHeight w:val="243"/>
        </w:trPr>
        <w:tc>
          <w:tcPr>
            <w:tcW w:w="5100" w:type="dxa"/>
            <w:vAlign w:val="bottom"/>
          </w:tcPr>
          <w:p>
            <w:pPr>
              <w:ind w:left="20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18,213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18,213</w:t>
            </w:r>
          </w:p>
        </w:tc>
      </w:tr>
      <w:tr>
        <w:trPr>
          <w:trHeight w:val="214"/>
        </w:trPr>
        <w:tc>
          <w:tcPr>
            <w:tcW w:w="5100" w:type="dxa"/>
            <w:vAlign w:val="bottom"/>
          </w:tcPr>
          <w:p>
            <w:pPr>
              <w:ind w:left="200"/>
              <w:spacing w:after="0" w:line="214"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(16,801)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(16,801)</w:t>
            </w:r>
          </w:p>
        </w:tc>
      </w:tr>
      <w:tr>
        <w:trPr>
          <w:trHeight w:val="237"/>
        </w:trPr>
        <w:tc>
          <w:tcPr>
            <w:tcW w:w="5100" w:type="dxa"/>
            <w:vAlign w:val="bottom"/>
          </w:tcPr>
          <w:p>
            <w:pPr>
              <w:spacing w:after="0"/>
              <w:rPr>
                <w:sz w:val="20"/>
                <w:szCs w:val="20"/>
                <w:color w:val="auto"/>
              </w:rPr>
            </w:pPr>
            <w:r>
              <w:rPr>
                <w:rFonts w:ascii="Arial" w:cs="Arial" w:eastAsia="Arial" w:hAnsi="Arial"/>
                <w:sz w:val="16"/>
                <w:szCs w:val="16"/>
                <w:color w:val="auto"/>
              </w:rPr>
              <w:t>Adjusted Operating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21,972</w:t>
            </w: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(32,579)</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(16,457)</w:t>
            </w: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(45,806)</w:t>
            </w: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(72,870)</w:t>
            </w: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22"/>
        </w:trPr>
        <w:tc>
          <w:tcPr>
            <w:tcW w:w="5100" w:type="dxa"/>
            <w:vAlign w:val="bottom"/>
          </w:tcPr>
          <w:p>
            <w:pPr>
              <w:spacing w:after="0"/>
              <w:rPr>
                <w:sz w:val="20"/>
                <w:szCs w:val="20"/>
                <w:color w:val="auto"/>
              </w:rPr>
            </w:pPr>
            <w:r>
              <w:rPr>
                <w:rFonts w:ascii="Arial" w:cs="Arial" w:eastAsia="Arial" w:hAnsi="Arial"/>
                <w:sz w:val="16"/>
                <w:szCs w:val="16"/>
                <w:color w:val="auto"/>
              </w:rPr>
              <w:t>Operating income margin</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440"/>
              <w:spacing w:after="0"/>
              <w:rPr>
                <w:sz w:val="20"/>
                <w:szCs w:val="20"/>
                <w:color w:val="auto"/>
              </w:rPr>
            </w:pPr>
            <w:r>
              <w:rPr>
                <w:rFonts w:ascii="Arial" w:cs="Arial" w:eastAsia="Arial" w:hAnsi="Arial"/>
                <w:sz w:val="16"/>
                <w:szCs w:val="16"/>
                <w:color w:val="auto"/>
              </w:rPr>
              <w:t>NM</w:t>
            </w:r>
          </w:p>
        </w:tc>
        <w:tc>
          <w:tcPr>
            <w:tcW w:w="140" w:type="dxa"/>
            <w:vAlign w:val="bottom"/>
          </w:tcPr>
          <w:p>
            <w:pPr>
              <w:spacing w:after="0"/>
              <w:rPr>
                <w:sz w:val="24"/>
                <w:szCs w:val="24"/>
                <w:color w:val="auto"/>
              </w:rPr>
            </w:pPr>
          </w:p>
        </w:tc>
        <w:tc>
          <w:tcPr>
            <w:tcW w:w="1100" w:type="dxa"/>
            <w:vAlign w:val="bottom"/>
            <w:gridSpan w:val="2"/>
          </w:tcPr>
          <w:p>
            <w:pPr>
              <w:ind w:left="48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4"/>
                <w:szCs w:val="24"/>
                <w:color w:val="auto"/>
              </w:rPr>
            </w:pPr>
          </w:p>
        </w:tc>
        <w:tc>
          <w:tcPr>
            <w:tcW w:w="1080" w:type="dxa"/>
            <w:vAlign w:val="bottom"/>
            <w:gridSpan w:val="2"/>
          </w:tcPr>
          <w:p>
            <w:pPr>
              <w:ind w:left="46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4"/>
                <w:szCs w:val="24"/>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NM</w:t>
            </w:r>
          </w:p>
        </w:tc>
      </w:tr>
      <w:tr>
        <w:trPr>
          <w:trHeight w:val="243"/>
        </w:trPr>
        <w:tc>
          <w:tcPr>
            <w:tcW w:w="5100" w:type="dxa"/>
            <w:vAlign w:val="bottom"/>
          </w:tcPr>
          <w:p>
            <w:pPr>
              <w:spacing w:after="0"/>
              <w:rPr>
                <w:sz w:val="20"/>
                <w:szCs w:val="20"/>
                <w:color w:val="auto"/>
              </w:rPr>
            </w:pPr>
            <w:r>
              <w:rPr>
                <w:rFonts w:ascii="Arial" w:cs="Arial" w:eastAsia="Arial" w:hAnsi="Arial"/>
                <w:sz w:val="16"/>
                <w:szCs w:val="16"/>
                <w:color w:val="auto"/>
              </w:rPr>
              <w:t>Adjusted Operating Income Margin</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440"/>
              <w:spacing w:after="0"/>
              <w:rPr>
                <w:sz w:val="20"/>
                <w:szCs w:val="20"/>
                <w:color w:val="auto"/>
              </w:rPr>
            </w:pPr>
            <w:r>
              <w:rPr>
                <w:rFonts w:ascii="Arial" w:cs="Arial" w:eastAsia="Arial" w:hAnsi="Arial"/>
                <w:sz w:val="16"/>
                <w:szCs w:val="16"/>
                <w:color w:val="auto"/>
              </w:rPr>
              <w:t>NM</w:t>
            </w:r>
          </w:p>
        </w:tc>
        <w:tc>
          <w:tcPr>
            <w:tcW w:w="140" w:type="dxa"/>
            <w:vAlign w:val="bottom"/>
          </w:tcPr>
          <w:p>
            <w:pPr>
              <w:spacing w:after="0"/>
              <w:rPr>
                <w:sz w:val="21"/>
                <w:szCs w:val="21"/>
                <w:color w:val="auto"/>
              </w:rPr>
            </w:pPr>
          </w:p>
        </w:tc>
        <w:tc>
          <w:tcPr>
            <w:tcW w:w="1100" w:type="dxa"/>
            <w:vAlign w:val="bottom"/>
            <w:gridSpan w:val="2"/>
          </w:tcPr>
          <w:p>
            <w:pPr>
              <w:ind w:left="48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1"/>
                <w:szCs w:val="21"/>
                <w:color w:val="auto"/>
              </w:rPr>
            </w:pPr>
          </w:p>
        </w:tc>
        <w:tc>
          <w:tcPr>
            <w:tcW w:w="1080" w:type="dxa"/>
            <w:vAlign w:val="bottom"/>
            <w:gridSpan w:val="2"/>
          </w:tcPr>
          <w:p>
            <w:pPr>
              <w:ind w:left="46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NM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79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Three Months Ended March 31, 2019</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5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Travel</w:t>
            </w:r>
          </w:p>
        </w:tc>
        <w:tc>
          <w:tcPr>
            <w:tcW w:w="16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Airline</w:t>
            </w:r>
          </w:p>
        </w:tc>
        <w:tc>
          <w:tcPr>
            <w:tcW w:w="12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Hospitality</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Network</w:t>
            </w:r>
          </w:p>
        </w:tc>
        <w:tc>
          <w:tcPr>
            <w:tcW w:w="16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Solutions</w:t>
            </w:r>
          </w:p>
        </w:tc>
        <w:tc>
          <w:tcPr>
            <w:tcW w:w="14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7"/>
                <w:szCs w:val="17"/>
                <w:color w:val="auto"/>
              </w:rPr>
            </w:pPr>
          </w:p>
        </w:tc>
        <w:tc>
          <w:tcPr>
            <w:tcW w:w="1000" w:type="dxa"/>
            <w:vAlign w:val="bottom"/>
          </w:tcPr>
          <w:p>
            <w:pPr>
              <w:jc w:val="right"/>
              <w:ind w:right="3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6"/>
                <w:szCs w:val="16"/>
                <w:color w:val="auto"/>
              </w:rPr>
              <w:t>Operating income (loss)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192,639</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15,424</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(5,717)</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(91,939)</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110,407</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6"/>
                <w:szCs w:val="16"/>
                <w:color w:val="auto"/>
              </w:rPr>
              <w:t>Add back:</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21"/>
                <w:szCs w:val="21"/>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43,460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22,677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9,960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75,294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151,391</w:t>
            </w:r>
          </w:p>
        </w:tc>
        <w:tc>
          <w:tcPr>
            <w:tcW w:w="0" w:type="dxa"/>
            <w:vAlign w:val="bottom"/>
          </w:tcPr>
          <w:p>
            <w:pPr>
              <w:spacing w:after="0"/>
              <w:rPr>
                <w:sz w:val="1"/>
                <w:szCs w:val="1"/>
                <w:color w:val="auto"/>
              </w:rPr>
            </w:pPr>
          </w:p>
        </w:tc>
      </w:tr>
      <w:tr>
        <w:trPr>
          <w:trHeight w:val="243"/>
        </w:trPr>
        <w:tc>
          <w:tcPr>
            <w:tcW w:w="5100" w:type="dxa"/>
            <w:vAlign w:val="bottom"/>
          </w:tcPr>
          <w:p>
            <w:pPr>
              <w:ind w:left="420"/>
              <w:spacing w:after="0"/>
              <w:rPr>
                <w:sz w:val="20"/>
                <w:szCs w:val="20"/>
                <w:color w:val="auto"/>
              </w:rPr>
            </w:pPr>
            <w:r>
              <w:rPr>
                <w:rFonts w:ascii="Arial" w:cs="Arial" w:eastAsia="Arial" w:hAnsi="Arial"/>
                <w:sz w:val="16"/>
                <w:szCs w:val="16"/>
                <w:color w:val="auto"/>
              </w:rPr>
              <w:t>Cost of revenue adjustments: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5100" w:type="dxa"/>
            <w:vAlign w:val="bottom"/>
          </w:tcPr>
          <w:p>
            <w:pPr>
              <w:ind w:left="4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220" w:type="dxa"/>
            <w:vAlign w:val="bottom"/>
          </w:tcPr>
          <w:p>
            <w:pPr>
              <w:spacing w:after="0"/>
              <w:rPr>
                <w:sz w:val="24"/>
                <w:szCs w:val="24"/>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27,453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40,030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11,467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5,970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84,920</w:t>
            </w:r>
          </w:p>
        </w:tc>
        <w:tc>
          <w:tcPr>
            <w:tcW w:w="0" w:type="dxa"/>
            <w:vAlign w:val="bottom"/>
          </w:tcPr>
          <w:p>
            <w:pPr>
              <w:spacing w:after="0"/>
              <w:rPr>
                <w:sz w:val="1"/>
                <w:szCs w:val="1"/>
                <w:color w:val="auto"/>
              </w:rPr>
            </w:pPr>
          </w:p>
        </w:tc>
      </w:tr>
      <w:tr>
        <w:trPr>
          <w:trHeight w:val="243"/>
        </w:trPr>
        <w:tc>
          <w:tcPr>
            <w:tcW w:w="5100" w:type="dxa"/>
            <w:vAlign w:val="bottom"/>
          </w:tcPr>
          <w:p>
            <w:pPr>
              <w:ind w:left="44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220" w:type="dxa"/>
            <w:vAlign w:val="bottom"/>
          </w:tcPr>
          <w:p>
            <w:pPr>
              <w:spacing w:after="0"/>
              <w:rPr>
                <w:sz w:val="21"/>
                <w:szCs w:val="21"/>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19,128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19,128</w:t>
            </w:r>
          </w:p>
        </w:tc>
        <w:tc>
          <w:tcPr>
            <w:tcW w:w="0" w:type="dxa"/>
            <w:vAlign w:val="bottom"/>
          </w:tcPr>
          <w:p>
            <w:pPr>
              <w:spacing w:after="0"/>
              <w:rPr>
                <w:sz w:val="1"/>
                <w:szCs w:val="1"/>
                <w:color w:val="auto"/>
              </w:rPr>
            </w:pPr>
          </w:p>
        </w:tc>
      </w:tr>
      <w:tr>
        <w:trPr>
          <w:trHeight w:val="208"/>
        </w:trPr>
        <w:tc>
          <w:tcPr>
            <w:tcW w:w="510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7,244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7,244</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6"/>
                <w:szCs w:val="16"/>
                <w:color w:val="auto"/>
              </w:rPr>
              <w:t>Adjusted Gross Profit</w:t>
            </w: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282,680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78,131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15,710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(3,431)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373,090</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(43,460)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ind w:left="140"/>
              <w:spacing w:after="0"/>
              <w:rPr>
                <w:sz w:val="20"/>
                <w:szCs w:val="20"/>
                <w:color w:val="auto"/>
              </w:rPr>
            </w:pPr>
            <w:r>
              <w:rPr>
                <w:rFonts w:ascii="Arial" w:cs="Arial" w:eastAsia="Arial" w:hAnsi="Arial"/>
                <w:sz w:val="16"/>
                <w:szCs w:val="16"/>
                <w:color w:val="auto"/>
              </w:rPr>
              <w:t>(22,677)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(9,960)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(75,294)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(151,391)</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6"/>
                <w:szCs w:val="16"/>
                <w:color w:val="auto"/>
              </w:rPr>
              <w:t>Equity method income</w:t>
            </w:r>
          </w:p>
        </w:tc>
        <w:tc>
          <w:tcPr>
            <w:tcW w:w="220" w:type="dxa"/>
            <w:vAlign w:val="bottom"/>
          </w:tcPr>
          <w:p>
            <w:pPr>
              <w:spacing w:after="0"/>
              <w:rPr>
                <w:sz w:val="21"/>
                <w:szCs w:val="21"/>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6"/>
                <w:szCs w:val="16"/>
                <w:color w:val="auto"/>
              </w:rPr>
              <w:t>Selling, general and administrative adjustments: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5100" w:type="dxa"/>
            <w:vAlign w:val="bottom"/>
          </w:tcPr>
          <w:p>
            <w:pPr>
              <w:ind w:left="4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220" w:type="dxa"/>
            <w:vAlign w:val="bottom"/>
          </w:tcPr>
          <w:p>
            <w:pPr>
              <w:spacing w:after="0"/>
              <w:rPr>
                <w:sz w:val="24"/>
                <w:szCs w:val="24"/>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3,102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2,940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1,255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11,226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18,523</w:t>
            </w:r>
          </w:p>
        </w:tc>
        <w:tc>
          <w:tcPr>
            <w:tcW w:w="0" w:type="dxa"/>
            <w:vAlign w:val="bottom"/>
          </w:tcPr>
          <w:p>
            <w:pPr>
              <w:spacing w:after="0"/>
              <w:rPr>
                <w:sz w:val="1"/>
                <w:szCs w:val="1"/>
                <w:color w:val="auto"/>
              </w:rPr>
            </w:pPr>
          </w:p>
        </w:tc>
      </w:tr>
      <w:tr>
        <w:trPr>
          <w:trHeight w:val="243"/>
        </w:trPr>
        <w:tc>
          <w:tcPr>
            <w:tcW w:w="5100" w:type="dxa"/>
            <w:vAlign w:val="bottom"/>
          </w:tcPr>
          <w:p>
            <w:pPr>
              <w:ind w:left="44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22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11,706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11,706</w:t>
            </w:r>
          </w:p>
        </w:tc>
        <w:tc>
          <w:tcPr>
            <w:tcW w:w="0" w:type="dxa"/>
            <w:vAlign w:val="bottom"/>
          </w:tcPr>
          <w:p>
            <w:pPr>
              <w:spacing w:after="0"/>
              <w:rPr>
                <w:sz w:val="1"/>
                <w:szCs w:val="1"/>
                <w:color w:val="auto"/>
              </w:rPr>
            </w:pPr>
          </w:p>
        </w:tc>
      </w:tr>
      <w:tr>
        <w:trPr>
          <w:trHeight w:val="243"/>
        </w:trPr>
        <w:tc>
          <w:tcPr>
            <w:tcW w:w="5100" w:type="dxa"/>
            <w:vAlign w:val="bottom"/>
          </w:tcPr>
          <w:p>
            <w:pPr>
              <w:ind w:left="46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(5)</w:t>
            </w:r>
          </w:p>
        </w:tc>
        <w:tc>
          <w:tcPr>
            <w:tcW w:w="22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1,438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08"/>
        </w:trPr>
        <w:tc>
          <w:tcPr>
            <w:tcW w:w="510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8,450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8,450</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6"/>
                <w:szCs w:val="16"/>
                <w:color w:val="auto"/>
              </w:rPr>
              <w:t>Adjusted EBITDA</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242,855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58,394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7,005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(45,905)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262,349</w:t>
            </w:r>
          </w:p>
        </w:tc>
        <w:tc>
          <w:tcPr>
            <w:tcW w:w="0" w:type="dxa"/>
            <w:vAlign w:val="bottom"/>
          </w:tcPr>
          <w:p>
            <w:pPr>
              <w:spacing w:after="0"/>
              <w:rPr>
                <w:sz w:val="1"/>
                <w:szCs w:val="1"/>
                <w:color w:val="auto"/>
              </w:rPr>
            </w:pPr>
          </w:p>
        </w:tc>
      </w:tr>
      <w:tr>
        <w:trPr>
          <w:trHeight w:val="21"/>
        </w:trPr>
        <w:tc>
          <w:tcPr>
            <w:tcW w:w="5100" w:type="dxa"/>
            <w:vAlign w:val="bottom"/>
            <w:vMerge w:val="restart"/>
          </w:tcPr>
          <w:p>
            <w:pPr>
              <w:spacing w:after="0"/>
              <w:rPr>
                <w:sz w:val="20"/>
                <w:szCs w:val="20"/>
                <w:color w:val="auto"/>
              </w:rPr>
            </w:pPr>
            <w:r>
              <w:rPr>
                <w:rFonts w:ascii="Arial" w:cs="Arial" w:eastAsia="Arial" w:hAnsi="Arial"/>
                <w:sz w:val="16"/>
                <w:szCs w:val="16"/>
                <w:color w:val="auto"/>
              </w:rPr>
              <w:t>Less:</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100" w:type="dxa"/>
            <w:vAlign w:val="bottom"/>
          </w:tcPr>
          <w:p>
            <w:pPr>
              <w:ind w:left="2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220" w:type="dxa"/>
            <w:vAlign w:val="bottom"/>
          </w:tcPr>
          <w:p>
            <w:pPr>
              <w:spacing w:after="0"/>
              <w:rPr>
                <w:sz w:val="24"/>
                <w:szCs w:val="24"/>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30,555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42,970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12,722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17,196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103,443</w:t>
            </w:r>
          </w:p>
        </w:tc>
        <w:tc>
          <w:tcPr>
            <w:tcW w:w="0" w:type="dxa"/>
            <w:vAlign w:val="bottom"/>
          </w:tcPr>
          <w:p>
            <w:pPr>
              <w:spacing w:after="0"/>
              <w:rPr>
                <w:sz w:val="1"/>
                <w:szCs w:val="1"/>
                <w:color w:val="auto"/>
              </w:rPr>
            </w:pPr>
          </w:p>
        </w:tc>
      </w:tr>
      <w:tr>
        <w:trPr>
          <w:trHeight w:val="243"/>
        </w:trPr>
        <w:tc>
          <w:tcPr>
            <w:tcW w:w="5100" w:type="dxa"/>
            <w:vAlign w:val="bottom"/>
          </w:tcPr>
          <w:p>
            <w:pPr>
              <w:ind w:left="24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220" w:type="dxa"/>
            <w:vAlign w:val="bottom"/>
          </w:tcPr>
          <w:p>
            <w:pPr>
              <w:spacing w:after="0"/>
              <w:rPr>
                <w:sz w:val="21"/>
                <w:szCs w:val="21"/>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19,128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19,128</w:t>
            </w:r>
          </w:p>
        </w:tc>
        <w:tc>
          <w:tcPr>
            <w:tcW w:w="0" w:type="dxa"/>
            <w:vAlign w:val="bottom"/>
          </w:tcPr>
          <w:p>
            <w:pPr>
              <w:spacing w:after="0"/>
              <w:rPr>
                <w:sz w:val="1"/>
                <w:szCs w:val="1"/>
                <w:color w:val="auto"/>
              </w:rPr>
            </w:pPr>
          </w:p>
        </w:tc>
      </w:tr>
      <w:tr>
        <w:trPr>
          <w:trHeight w:val="214"/>
        </w:trPr>
        <w:tc>
          <w:tcPr>
            <w:tcW w:w="5100" w:type="dxa"/>
            <w:vAlign w:val="bottom"/>
          </w:tcPr>
          <w:p>
            <w:pPr>
              <w:ind w:left="240"/>
              <w:spacing w:after="0" w:line="214"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2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(15,984)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(15,984)</w:t>
            </w:r>
          </w:p>
        </w:tc>
        <w:tc>
          <w:tcPr>
            <w:tcW w:w="0" w:type="dxa"/>
            <w:vAlign w:val="bottom"/>
          </w:tcPr>
          <w:p>
            <w:pPr>
              <w:spacing w:after="0"/>
              <w:rPr>
                <w:sz w:val="1"/>
                <w:szCs w:val="1"/>
                <w:color w:val="auto"/>
              </w:rPr>
            </w:pPr>
          </w:p>
        </w:tc>
      </w:tr>
      <w:tr>
        <w:trPr>
          <w:trHeight w:val="236"/>
        </w:trPr>
        <w:tc>
          <w:tcPr>
            <w:tcW w:w="5100" w:type="dxa"/>
            <w:vAlign w:val="bottom"/>
          </w:tcPr>
          <w:p>
            <w:pPr>
              <w:ind w:left="40"/>
              <w:spacing w:after="0"/>
              <w:rPr>
                <w:sz w:val="20"/>
                <w:szCs w:val="20"/>
                <w:color w:val="auto"/>
              </w:rPr>
            </w:pPr>
            <w:r>
              <w:rPr>
                <w:rFonts w:ascii="Arial" w:cs="Arial" w:eastAsia="Arial" w:hAnsi="Arial"/>
                <w:sz w:val="16"/>
                <w:szCs w:val="16"/>
                <w:color w:val="auto"/>
              </w:rPr>
              <w:t>Adjusted Operating Income (Loss)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193,172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15,424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(5,717)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(47,117)</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155,762</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5100" w:type="dxa"/>
            <w:vAlign w:val="bottom"/>
          </w:tcPr>
          <w:p>
            <w:pPr>
              <w:spacing w:after="0"/>
              <w:rPr>
                <w:sz w:val="20"/>
                <w:szCs w:val="20"/>
                <w:color w:val="auto"/>
              </w:rPr>
            </w:pPr>
            <w:r>
              <w:rPr>
                <w:rFonts w:ascii="Arial" w:cs="Arial" w:eastAsia="Arial" w:hAnsi="Arial"/>
                <w:sz w:val="16"/>
                <w:szCs w:val="16"/>
                <w:color w:val="auto"/>
              </w:rPr>
              <w:t>Operating income margin</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24.9 %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NM</w:t>
            </w:r>
          </w:p>
        </w:tc>
        <w:tc>
          <w:tcPr>
            <w:tcW w:w="140" w:type="dxa"/>
            <w:vAlign w:val="bottom"/>
          </w:tcPr>
          <w:p>
            <w:pPr>
              <w:spacing w:after="0"/>
              <w:rPr>
                <w:sz w:val="24"/>
                <w:szCs w:val="24"/>
                <w:color w:val="auto"/>
              </w:rPr>
            </w:pP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NM</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6"/>
                <w:szCs w:val="16"/>
                <w:color w:val="auto"/>
              </w:rPr>
              <w:t>Adjusted Operating Income Margin</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NM</w:t>
            </w:r>
          </w:p>
        </w:tc>
        <w:tc>
          <w:tcPr>
            <w:tcW w:w="140" w:type="dxa"/>
            <w:vAlign w:val="bottom"/>
          </w:tcPr>
          <w:p>
            <w:pPr>
              <w:spacing w:after="0"/>
              <w:rPr>
                <w:sz w:val="21"/>
                <w:szCs w:val="21"/>
                <w:color w:val="auto"/>
              </w:rPr>
            </w:pP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NM</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20"/>
          </w:cols>
          <w:pgMar w:left="340" w:top="1125" w:right="339" w:bottom="1440" w:gutter="0" w:footer="0" w:header="0"/>
        </w:sectPr>
      </w:pPr>
    </w:p>
    <w:bookmarkStart w:id="22" w:name="page23"/>
    <w:bookmarkEnd w:id="22"/>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334"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We have included both financial measures compiled in accordance with GAAP and certain non-GAAP financial measures, including Adjusted Gross Profit, Adjusted Operating (Loss) Income, Adjusted Net (Loss) Income from continuing operations ("Adjusted Net (Loss) Income"), Adjusted EBITDA, Adjusted EPS, Free Cash Flow and ratios based on these financial measures.</w:t>
      </w:r>
    </w:p>
    <w:p>
      <w:pPr>
        <w:spacing w:after="0" w:line="235"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We define Adjusted Gross Profit as operating (loss) income adjusted for selling, general and administrative expenses, the cost of revenue portion of depreciation and amortization, restructuring and other costs, amortization of upfront incentive consideration, and stock-based compensation included in cost of revenue.</w:t>
      </w:r>
    </w:p>
    <w:p>
      <w:pPr>
        <w:spacing w:after="0" w:line="234" w:lineRule="exact"/>
        <w:rPr>
          <w:sz w:val="20"/>
          <w:szCs w:val="20"/>
          <w:color w:val="auto"/>
        </w:rPr>
      </w:pPr>
    </w:p>
    <w:p>
      <w:pPr>
        <w:jc w:val="both"/>
        <w:spacing w:after="0" w:line="346" w:lineRule="auto"/>
        <w:rPr>
          <w:sz w:val="20"/>
          <w:szCs w:val="20"/>
          <w:color w:val="auto"/>
        </w:rPr>
      </w:pPr>
      <w:r>
        <w:rPr>
          <w:rFonts w:ascii="Arial" w:cs="Arial" w:eastAsia="Arial" w:hAnsi="Arial"/>
          <w:sz w:val="19"/>
          <w:szCs w:val="19"/>
          <w:color w:val="auto"/>
        </w:rPr>
        <w:t>We define Adjusted Operating (Loss) Income as operating (loss) income adjusted for equity method (loss) income, acquisition-related amortization, restructuring and other costs, acquisition-related costs, litigation costs, net, and stock-based compensation.</w:t>
      </w:r>
    </w:p>
    <w:p>
      <w:pPr>
        <w:spacing w:after="0" w:line="207"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We define Adjusted Net (Loss) Income as net (loss) income attributable to common stockholders adjusted for loss (income) from discontinued operations, net of tax, net income attributable to noncontrolling interests, acquisition-related amortization, loss on extinguishment of debt, other, net, restructuring and other costs, acquisition-related costs, litigation costs, net, stock-based compensation, and the tax impact of adjustments.</w:t>
      </w:r>
    </w:p>
    <w:p>
      <w:pPr>
        <w:spacing w:after="0" w:line="235"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We define Adjusted EBITDA as Adjusted Net (Loss) Income adjusted for depreciation and amortization of property and equipment, amortization of capitalized implementation costs, amortization of upfront incentive consideration, interest expense, net, and the remaining provision for income taxes.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We define Adjusted EPS as Adjusted Net (Loss) Income divided by diluted weighted-average common shares outstanding.</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We define Free Cash Flow as cash provided by operating activities less cash used in additions to property and equipment.</w:t>
      </w:r>
    </w:p>
    <w:p>
      <w:pPr>
        <w:spacing w:after="0" w:line="310"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We define Adjusted Net (Loss) Income from continuing operations per share (EPS) as Adjusted Net (Loss) Income divided by diluted weighted-average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1440" w:right="339" w:bottom="1440" w:gutter="0" w:footer="0" w:header="0"/>
        </w:sectPr>
      </w:pPr>
    </w:p>
    <w:bookmarkStart w:id="23" w:name="page24"/>
    <w:bookmarkEnd w:id="23"/>
    <w:p>
      <w:pPr>
        <w:spacing w:after="0" w:line="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These non-GAAP financial measures are key metrics used by management and our board of directors to monitor our ongoing core operations because historical results have been significantly impacted by events that are unrelated to our core operations as a result of changes to our business and the regulatory environment. We believe that these non-GAAP financial measures are used by investors, analysts and other interested parties as measures of financial performance and to evaluate our ability to service debt obligations, fund capital expenditures and meet working capital requirements. We also believe that Adjusted Gross Profit, Adjusted Operating (Loss) Income, Adjusted Net (Loss) Income, Adjusted EBITDA and Adjusted EPS assist investors in company-to-company and period-to-period comparisons by excluding differences caused by variations in capital structures (affecting interest expense), tax positions and the impact of depreciation and amortization expense. In addition, amounts derived from Adjusted EBITDA are a primary component of certain covenants under our senior secured credit facilities.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Adjusted Gross Profit, Adjusted Operating (Loss) Income, Adjusted Net (Loss) Income, Adjusted EBITDA, Adjusted EPS, Free Cash Flow and ratios based on these financial measures are not recognized terms under GAAP. These non-GAAP financial measures and ratios based on them are unaudited and have important limitations as analytical tools, and should not be viewed in isolation and do not purport to be alternatives to net income as indicators of operating performance or cash flows from operating activities as measures of liquidity. These non-GAAP financial measures and ratios based on them exclude some, but not all, items that affect net income or cash flows from operating activities and these measures may vary among companies. Our use of these measures has limitations as an analytical tool, and you should not consider them in isolation or as substitutes for analysis of our results as reported under GAAP. Some of these limitations are:</w:t>
      </w:r>
    </w:p>
    <w:p>
      <w:pPr>
        <w:spacing w:after="0" w:line="248" w:lineRule="exact"/>
        <w:rPr>
          <w:sz w:val="20"/>
          <w:szCs w:val="20"/>
          <w:color w:val="auto"/>
        </w:rPr>
      </w:pPr>
    </w:p>
    <w:p>
      <w:pPr>
        <w:ind w:left="660" w:right="20" w:hanging="328"/>
        <w:spacing w:after="0" w:line="307"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20"/>
          <w:szCs w:val="20"/>
          <w:color w:val="auto"/>
        </w:rPr>
        <w:t>these non-GAAP financial measures exclude certain recurring, non-cash charges such as stock-based compensation expense and amortization of acquired intangible assets;</w:t>
      </w:r>
    </w:p>
    <w:p>
      <w:pPr>
        <w:spacing w:after="0" w:line="246" w:lineRule="exact"/>
        <w:rPr>
          <w:rFonts w:ascii="Arial" w:cs="Arial" w:eastAsia="Arial" w:hAnsi="Arial"/>
          <w:sz w:val="22"/>
          <w:szCs w:val="22"/>
          <w:color w:val="auto"/>
        </w:rPr>
      </w:pPr>
    </w:p>
    <w:p>
      <w:pPr>
        <w:jc w:val="both"/>
        <w:ind w:left="660" w:hanging="328"/>
        <w:spacing w:after="0" w:line="305"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20"/>
          <w:szCs w:val="20"/>
          <w:color w:val="auto"/>
        </w:rPr>
        <w:t>although depreciation and amortization are non-cash charges, the assets being depreciated and amortized may have to be replaced in the future, and Adjusted Gross Profit and Adjusted EBITDA do not reflect cash requirements for such replacements;</w:t>
      </w:r>
    </w:p>
    <w:p>
      <w:pPr>
        <w:spacing w:after="0" w:line="254" w:lineRule="exact"/>
        <w:rPr>
          <w:rFonts w:ascii="Arial" w:cs="Arial" w:eastAsia="Arial" w:hAnsi="Arial"/>
          <w:sz w:val="22"/>
          <w:szCs w:val="22"/>
          <w:color w:val="auto"/>
        </w:rPr>
      </w:pPr>
    </w:p>
    <w:p>
      <w:pPr>
        <w:ind w:left="660" w:hanging="328"/>
        <w:spacing w:after="0" w:line="307"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20"/>
          <w:szCs w:val="20"/>
          <w:color w:val="auto"/>
        </w:rPr>
        <w:t>Adjusted Operating (Loss) Income, Adjusted Net (Loss) Income and Adjusted EBITDA do not reflect changes in, or cash requirements for, our working capital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1440" w:right="339" w:bottom="1440" w:gutter="0" w:footer="0" w:header="0"/>
        </w:sectPr>
      </w:pPr>
    </w:p>
    <w:bookmarkStart w:id="24" w:name="page25"/>
    <w:bookmarkEnd w:id="24"/>
    <w:p>
      <w:pPr>
        <w:spacing w:after="0" w:line="46" w:lineRule="exact"/>
        <w:rPr>
          <w:sz w:val="20"/>
          <w:szCs w:val="20"/>
          <w:color w:val="auto"/>
        </w:rPr>
      </w:pPr>
    </w:p>
    <w:p>
      <w:pPr>
        <w:ind w:left="660" w:right="20" w:hanging="328"/>
        <w:spacing w:after="0" w:line="307"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0"/>
          <w:szCs w:val="20"/>
          <w:color w:val="auto"/>
        </w:rPr>
        <w:t>Adjusted EBITDA does not reflect the interest expense or the cash requirements necessary to service interest or principal payments on our indebtedness;</w:t>
      </w:r>
    </w:p>
    <w:p>
      <w:pPr>
        <w:spacing w:after="0" w:line="230"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0"/>
          <w:szCs w:val="20"/>
          <w:color w:val="auto"/>
        </w:rPr>
        <w:t>Adjusted EBITDA does not reflect tax payments that may represent a reduction in cash available to us;</w:t>
      </w:r>
    </w:p>
    <w:p>
      <w:pPr>
        <w:spacing w:after="0" w:line="329" w:lineRule="exact"/>
        <w:rPr>
          <w:rFonts w:ascii="Arial" w:cs="Arial" w:eastAsia="Arial" w:hAnsi="Arial"/>
          <w:sz w:val="22"/>
          <w:szCs w:val="22"/>
          <w:color w:val="auto"/>
        </w:rPr>
      </w:pPr>
    </w:p>
    <w:p>
      <w:pPr>
        <w:ind w:left="660" w:hanging="328"/>
        <w:spacing w:after="0" w:line="307"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0"/>
          <w:szCs w:val="20"/>
          <w:color w:val="auto"/>
        </w:rPr>
        <w:t>Free Cash Flow removes the impact of accrual-basis accounting on asset accounts and non-debt liability accounts, and does not reflect the cash requirements necessary to service the principal payments on our indebtedness; and</w:t>
      </w:r>
    </w:p>
    <w:p>
      <w:pPr>
        <w:spacing w:after="0" w:line="246" w:lineRule="exact"/>
        <w:rPr>
          <w:rFonts w:ascii="Arial" w:cs="Arial" w:eastAsia="Arial" w:hAnsi="Arial"/>
          <w:sz w:val="22"/>
          <w:szCs w:val="22"/>
          <w:color w:val="auto"/>
        </w:rPr>
      </w:pPr>
    </w:p>
    <w:p>
      <w:pPr>
        <w:jc w:val="both"/>
        <w:ind w:left="660" w:hanging="328"/>
        <w:spacing w:after="0" w:line="305"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0"/>
          <w:szCs w:val="20"/>
          <w:color w:val="auto"/>
        </w:rPr>
        <w:t>other companies, including companies in our industry, may calculate Adjusted Gross Profit, Adjusted Operating (Loss) Income, Adjusted Net (Loss) Income, Adjusted EBITDA, Adjusted EPS or Free Cash Flow differently, which reduces their usefulness as comparative measures.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Footnotes</w:t>
      </w:r>
    </w:p>
    <w:p>
      <w:pPr>
        <w:spacing w:after="0" w:line="375" w:lineRule="exact"/>
        <w:rPr>
          <w:sz w:val="20"/>
          <w:szCs w:val="20"/>
          <w:color w:val="auto"/>
        </w:rPr>
      </w:pPr>
    </w:p>
    <w:p>
      <w:pPr>
        <w:jc w:val="both"/>
        <w:ind w:left="340" w:hanging="332"/>
        <w:spacing w:after="0" w:line="313" w:lineRule="auto"/>
        <w:tabs>
          <w:tab w:leader="none" w:pos="339" w:val="left"/>
        </w:tabs>
        <w:numPr>
          <w:ilvl w:val="0"/>
          <w:numId w:val="12"/>
        </w:numPr>
        <w:rPr>
          <w:rFonts w:ascii="Arial" w:cs="Arial" w:eastAsia="Arial" w:hAnsi="Arial"/>
          <w:sz w:val="20"/>
          <w:szCs w:val="20"/>
          <w:color w:val="auto"/>
        </w:rPr>
      </w:pPr>
      <w:r>
        <w:rPr>
          <w:rFonts w:ascii="Arial" w:cs="Arial" w:eastAsia="Arial" w:hAnsi="Arial"/>
          <w:sz w:val="20"/>
          <w:szCs w:val="20"/>
          <w:color w:val="auto"/>
        </w:rPr>
        <w:t>Net income attributable to non-controlling interests represents an adjustment to include earnings allocated to non-controlling interests held in (i) Sabre Travel Network Middle East of 40%, (ii) Sabre Seyahat Dagitim Sistemleri A.S. of 40%, (iii) Sabre Travel Network Lanka (Pte) Ltd of 40%, and (iv) Sabre Bulgaria of 40%.</w:t>
      </w:r>
    </w:p>
    <w:p>
      <w:pPr>
        <w:spacing w:after="0" w:line="301" w:lineRule="exact"/>
        <w:rPr>
          <w:rFonts w:ascii="Arial" w:cs="Arial" w:eastAsia="Arial" w:hAnsi="Arial"/>
          <w:sz w:val="20"/>
          <w:szCs w:val="20"/>
          <w:color w:val="auto"/>
        </w:rPr>
      </w:pPr>
    </w:p>
    <w:p>
      <w:pPr>
        <w:ind w:left="340" w:hanging="332"/>
        <w:spacing w:after="0"/>
        <w:tabs>
          <w:tab w:leader="none" w:pos="3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Depreciation and amortization expenses:</w:t>
      </w:r>
    </w:p>
    <w:p>
      <w:pPr>
        <w:spacing w:after="0" w:line="107" w:lineRule="exact"/>
        <w:rPr>
          <w:rFonts w:ascii="Arial" w:cs="Arial" w:eastAsia="Arial" w:hAnsi="Arial"/>
          <w:sz w:val="20"/>
          <w:szCs w:val="20"/>
          <w:color w:val="auto"/>
        </w:rPr>
      </w:pPr>
    </w:p>
    <w:p>
      <w:pPr>
        <w:ind w:left="820" w:hanging="326"/>
        <w:spacing w:after="0" w:line="317" w:lineRule="auto"/>
        <w:tabs>
          <w:tab w:leader="none" w:pos="809" w:val="left"/>
        </w:tabs>
        <w:numPr>
          <w:ilvl w:val="1"/>
          <w:numId w:val="12"/>
        </w:numPr>
        <w:rPr>
          <w:rFonts w:ascii="Arial" w:cs="Arial" w:eastAsia="Arial" w:hAnsi="Arial"/>
          <w:sz w:val="20"/>
          <w:szCs w:val="20"/>
          <w:color w:val="auto"/>
        </w:rPr>
      </w:pPr>
      <w:r>
        <w:rPr>
          <w:rFonts w:ascii="Arial" w:cs="Arial" w:eastAsia="Arial" w:hAnsi="Arial"/>
          <w:sz w:val="20"/>
          <w:szCs w:val="20"/>
          <w:color w:val="auto"/>
        </w:rPr>
        <w:t>Acquisition-related amortization represents amortization of intangible assets from the take-private transaction in 2007 as well as intangibles associated with acquisitions since that date.</w:t>
      </w:r>
    </w:p>
    <w:p>
      <w:pPr>
        <w:spacing w:after="0" w:line="13" w:lineRule="exact"/>
        <w:rPr>
          <w:rFonts w:ascii="Arial" w:cs="Arial" w:eastAsia="Arial" w:hAnsi="Arial"/>
          <w:sz w:val="20"/>
          <w:szCs w:val="20"/>
          <w:color w:val="auto"/>
        </w:rPr>
      </w:pPr>
    </w:p>
    <w:p>
      <w:pPr>
        <w:ind w:left="820" w:hanging="326"/>
        <w:spacing w:after="0" w:line="317" w:lineRule="auto"/>
        <w:tabs>
          <w:tab w:leader="none" w:pos="831" w:val="left"/>
        </w:tabs>
        <w:numPr>
          <w:ilvl w:val="1"/>
          <w:numId w:val="12"/>
        </w:numPr>
        <w:rPr>
          <w:rFonts w:ascii="Arial" w:cs="Arial" w:eastAsia="Arial" w:hAnsi="Arial"/>
          <w:sz w:val="20"/>
          <w:szCs w:val="20"/>
          <w:color w:val="auto"/>
        </w:rPr>
      </w:pPr>
      <w:r>
        <w:rPr>
          <w:rFonts w:ascii="Arial" w:cs="Arial" w:eastAsia="Arial" w:hAnsi="Arial"/>
          <w:sz w:val="20"/>
          <w:szCs w:val="20"/>
          <w:color w:val="auto"/>
        </w:rPr>
        <w:t>Depreciation and amortization of property and equipment includes software developed for internal use as well as amortization of contract acquisition costs.</w:t>
      </w:r>
    </w:p>
    <w:p>
      <w:pPr>
        <w:spacing w:after="0" w:line="26" w:lineRule="exact"/>
        <w:rPr>
          <w:rFonts w:ascii="Arial" w:cs="Arial" w:eastAsia="Arial" w:hAnsi="Arial"/>
          <w:sz w:val="20"/>
          <w:szCs w:val="20"/>
          <w:color w:val="auto"/>
        </w:rPr>
      </w:pPr>
    </w:p>
    <w:p>
      <w:pPr>
        <w:ind w:left="820" w:hanging="326"/>
        <w:spacing w:after="0" w:line="317" w:lineRule="auto"/>
        <w:tabs>
          <w:tab w:leader="none" w:pos="798" w:val="left"/>
        </w:tabs>
        <w:numPr>
          <w:ilvl w:val="1"/>
          <w:numId w:val="12"/>
        </w:numPr>
        <w:rPr>
          <w:rFonts w:ascii="Arial" w:cs="Arial" w:eastAsia="Arial" w:hAnsi="Arial"/>
          <w:sz w:val="20"/>
          <w:szCs w:val="20"/>
          <w:color w:val="auto"/>
        </w:rPr>
      </w:pPr>
      <w:r>
        <w:rPr>
          <w:rFonts w:ascii="Arial" w:cs="Arial" w:eastAsia="Arial" w:hAnsi="Arial"/>
          <w:sz w:val="20"/>
          <w:szCs w:val="20"/>
          <w:color w:val="auto"/>
        </w:rPr>
        <w:t>Amortization of capitalized implementation costs represents amortization of upfront costs to implement new customer contracts under our SaaS and hosted revenue model.</w:t>
      </w:r>
    </w:p>
    <w:p>
      <w:pPr>
        <w:spacing w:after="0" w:line="296" w:lineRule="exact"/>
        <w:rPr>
          <w:rFonts w:ascii="Arial" w:cs="Arial" w:eastAsia="Arial" w:hAnsi="Arial"/>
          <w:sz w:val="20"/>
          <w:szCs w:val="20"/>
          <w:color w:val="auto"/>
        </w:rPr>
      </w:pPr>
    </w:p>
    <w:p>
      <w:pPr>
        <w:jc w:val="both"/>
        <w:ind w:left="340" w:hanging="332"/>
        <w:spacing w:after="0" w:line="313" w:lineRule="auto"/>
        <w:tabs>
          <w:tab w:leader="none" w:pos="339" w:val="left"/>
        </w:tabs>
        <w:numPr>
          <w:ilvl w:val="0"/>
          <w:numId w:val="12"/>
        </w:numPr>
        <w:rPr>
          <w:rFonts w:ascii="Arial" w:cs="Arial" w:eastAsia="Arial" w:hAnsi="Arial"/>
          <w:sz w:val="20"/>
          <w:szCs w:val="20"/>
          <w:color w:val="auto"/>
        </w:rPr>
      </w:pPr>
      <w:r>
        <w:rPr>
          <w:rFonts w:ascii="Arial" w:cs="Arial" w:eastAsia="Arial" w:hAnsi="Arial"/>
          <w:sz w:val="20"/>
          <w:szCs w:val="20"/>
          <w:color w:val="auto"/>
        </w:rPr>
        <w:t>Our Travel Network business at times provides upfront incentive consideration to travel agency subscribers at the inception or modification of a service contract, which are capitalized and amortized to cost of revenue over an average expected life of the service contract, generally over three to ten years. This consideration is made with the objective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1440" w:right="339" w:bottom="1440" w:gutter="0" w:footer="0" w:header="0"/>
        </w:sectPr>
      </w:pPr>
    </w:p>
    <w:bookmarkStart w:id="25" w:name="page26"/>
    <w:bookmarkEnd w:id="25"/>
    <w:p>
      <w:pPr>
        <w:spacing w:after="0" w:line="33" w:lineRule="exact"/>
        <w:rPr>
          <w:sz w:val="20"/>
          <w:szCs w:val="20"/>
          <w:color w:val="auto"/>
        </w:rPr>
      </w:pPr>
    </w:p>
    <w:p>
      <w:pPr>
        <w:jc w:val="both"/>
        <w:ind w:left="340"/>
        <w:spacing w:after="0" w:line="311" w:lineRule="auto"/>
        <w:rPr>
          <w:sz w:val="20"/>
          <w:szCs w:val="20"/>
          <w:color w:val="auto"/>
        </w:rPr>
      </w:pPr>
      <w:r>
        <w:rPr>
          <w:rFonts w:ascii="Arial" w:cs="Arial" w:eastAsia="Arial" w:hAnsi="Arial"/>
          <w:sz w:val="20"/>
          <w:szCs w:val="20"/>
          <w:color w:val="auto"/>
        </w:rPr>
        <w:t>increasing the number of clients or to ensure or improve customer loyalty. These service contract terms are established such that the supplier and other fees generated over the life of the contract will exceed the cost of the incentive consideration provided up front. These service contracts with travel agency subscribers require that the customer commit to achieving certain economic objectives and generally have terms requiring repayment of the upfront incentive consideration if those objectives are not met.</w:t>
      </w:r>
    </w:p>
    <w:p>
      <w:pPr>
        <w:spacing w:after="0" w:line="305" w:lineRule="exact"/>
        <w:rPr>
          <w:sz w:val="20"/>
          <w:szCs w:val="20"/>
          <w:color w:val="auto"/>
        </w:rPr>
      </w:pPr>
    </w:p>
    <w:p>
      <w:pPr>
        <w:jc w:val="both"/>
        <w:ind w:left="340" w:hanging="332"/>
        <w:spacing w:after="0" w:line="313" w:lineRule="auto"/>
        <w:tabs>
          <w:tab w:leader="none" w:pos="339" w:val="left"/>
        </w:tabs>
        <w:numPr>
          <w:ilvl w:val="0"/>
          <w:numId w:val="13"/>
        </w:numPr>
        <w:rPr>
          <w:rFonts w:ascii="Arial" w:cs="Arial" w:eastAsia="Arial" w:hAnsi="Arial"/>
          <w:sz w:val="20"/>
          <w:szCs w:val="20"/>
          <w:color w:val="auto"/>
        </w:rPr>
      </w:pPr>
      <w:r>
        <w:rPr>
          <w:rFonts w:ascii="Arial" w:cs="Arial" w:eastAsia="Arial" w:hAnsi="Arial"/>
          <w:sz w:val="20"/>
          <w:szCs w:val="20"/>
          <w:color w:val="auto"/>
        </w:rPr>
        <w:t>Other, net primarily includes a $46 million charge in connection with our proposed acquisition of Farelogix, as well as foreign exchange gains and losses related to the remeasurement of foreign currency denominated balances included in our consolidated balance sheets into the relevant functional currency.</w:t>
      </w:r>
    </w:p>
    <w:p>
      <w:pPr>
        <w:spacing w:after="0" w:line="315" w:lineRule="exact"/>
        <w:rPr>
          <w:rFonts w:ascii="Arial" w:cs="Arial" w:eastAsia="Arial" w:hAnsi="Arial"/>
          <w:sz w:val="20"/>
          <w:szCs w:val="20"/>
          <w:color w:val="auto"/>
        </w:rPr>
      </w:pPr>
    </w:p>
    <w:p>
      <w:pPr>
        <w:ind w:left="340" w:hanging="332"/>
        <w:spacing w:after="0" w:line="317" w:lineRule="auto"/>
        <w:tabs>
          <w:tab w:leader="none" w:pos="339" w:val="left"/>
        </w:tabs>
        <w:numPr>
          <w:ilvl w:val="0"/>
          <w:numId w:val="13"/>
        </w:numPr>
        <w:rPr>
          <w:rFonts w:ascii="Arial" w:cs="Arial" w:eastAsia="Arial" w:hAnsi="Arial"/>
          <w:sz w:val="20"/>
          <w:szCs w:val="20"/>
          <w:color w:val="auto"/>
        </w:rPr>
      </w:pPr>
      <w:r>
        <w:rPr>
          <w:rFonts w:ascii="Arial" w:cs="Arial" w:eastAsia="Arial" w:hAnsi="Arial"/>
          <w:sz w:val="20"/>
          <w:szCs w:val="20"/>
          <w:color w:val="auto"/>
        </w:rPr>
        <w:t>Litigation costs, net represent charges associated with antitrust litigation and other foreign non-income tax contingency matters.</w:t>
      </w:r>
    </w:p>
    <w:p>
      <w:pPr>
        <w:spacing w:after="0" w:line="296" w:lineRule="exact"/>
        <w:rPr>
          <w:rFonts w:ascii="Arial" w:cs="Arial" w:eastAsia="Arial" w:hAnsi="Arial"/>
          <w:sz w:val="20"/>
          <w:szCs w:val="20"/>
          <w:color w:val="auto"/>
        </w:rPr>
      </w:pPr>
    </w:p>
    <w:p>
      <w:pPr>
        <w:ind w:left="340" w:hanging="332"/>
        <w:spacing w:after="0"/>
        <w:tabs>
          <w:tab w:leader="none" w:pos="3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Acquisition-related costs represent fees and expenses incurred associated with the 2018 agreement to acquire Farelogix.</w:t>
      </w:r>
    </w:p>
    <w:p>
      <w:pPr>
        <w:spacing w:after="0" w:line="377" w:lineRule="exact"/>
        <w:rPr>
          <w:rFonts w:ascii="Arial" w:cs="Arial" w:eastAsia="Arial" w:hAnsi="Arial"/>
          <w:sz w:val="20"/>
          <w:szCs w:val="20"/>
          <w:color w:val="auto"/>
        </w:rPr>
      </w:pPr>
    </w:p>
    <w:p>
      <w:pPr>
        <w:jc w:val="both"/>
        <w:ind w:left="340" w:hanging="332"/>
        <w:spacing w:after="0" w:line="313" w:lineRule="auto"/>
        <w:tabs>
          <w:tab w:leader="none" w:pos="339"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tax impact of adjustments includes the tax effect of each separate adjustment based on the statutory tax rate for the jurisdiction(s) in which the adjustment was taxable or deductible, and the tax effect of items that relate to tax specific financial transactions, tax law changes, uncertain tax positions and other items.</w:t>
      </w:r>
    </w:p>
    <w:p>
      <w:pPr>
        <w:spacing w:after="0" w:line="315" w:lineRule="exact"/>
        <w:rPr>
          <w:rFonts w:ascii="Arial" w:cs="Arial" w:eastAsia="Arial" w:hAnsi="Arial"/>
          <w:sz w:val="20"/>
          <w:szCs w:val="20"/>
          <w:color w:val="auto"/>
        </w:rPr>
      </w:pPr>
    </w:p>
    <w:p>
      <w:pPr>
        <w:jc w:val="both"/>
        <w:ind w:left="340" w:hanging="332"/>
        <w:spacing w:after="0" w:line="312" w:lineRule="auto"/>
        <w:tabs>
          <w:tab w:leader="none" w:pos="339"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Restructuring and other costs represent charges associated with business restructuring and associated changes implemented which resulted in severance benefits related to employee terminations. In the first quarter of 2020, we recorded a $25 million charge associated with an announced action to reduce our workforce in connection with cost savings measures as a result of the market conditions caused by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1"/>
      <w:numFmt w:val="decimal"/>
      <w:start w:val="104"/>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2020-05-08T06:45:31Z</dcterms:created>
  <dcterms:modified xsi:type="dcterms:W3CDTF">2020-05-08T06:45:31Z</dcterms:modified>
</cp:coreProperties>
</file>